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hSpace="180" w:vSpace="180" w:wrap="around" w:vAnchor="page" w:hAnchor="page" w:x="1419" w:y="1419" w:anchorLock="1"/>
        <w:jc w:val="left"/>
        <w:textAlignment w:val="center"/>
        <w:rPr>
          <w:rFonts w:hint="eastAsia" w:ascii="黑体" w:hAnsi="黑体" w:eastAsia="黑体" w:cs="黑体"/>
          <w:kern w:val="0"/>
          <w:szCs w:val="20"/>
        </w:rPr>
      </w:pPr>
      <w:bookmarkStart w:id="7" w:name="_GoBack"/>
      <w:bookmarkEnd w:id="7"/>
      <w:r>
        <w:rPr>
          <w:rFonts w:hint="eastAsia" w:ascii="黑体" w:hAnsi="黑体" w:eastAsia="黑体" w:cs="黑体"/>
          <w:kern w:val="0"/>
          <w:szCs w:val="20"/>
        </w:rPr>
        <w:t>ICS</w:t>
      </w:r>
    </w:p>
    <w:p>
      <w:pPr>
        <w:framePr w:hSpace="180" w:vSpace="180" w:wrap="around" w:vAnchor="page" w:hAnchor="page" w:x="1419" w:y="1419" w:anchorLock="1"/>
        <w:jc w:val="left"/>
        <w:textAlignment w:val="center"/>
        <w:rPr>
          <w:rFonts w:hint="eastAsia" w:ascii="黑体" w:hAnsi="黑体" w:eastAsia="黑体" w:cs="黑体"/>
          <w:kern w:val="0"/>
          <w:szCs w:val="20"/>
        </w:rPr>
      </w:pPr>
      <w:r>
        <w:rPr>
          <w:rFonts w:hint="eastAsia" w:ascii="黑体" w:hAnsi="黑体" w:eastAsia="黑体" w:cs="黑体"/>
          <w:kern w:val="0"/>
          <w:szCs w:val="20"/>
        </w:rPr>
        <w:t xml:space="preserve">C </w:t>
      </w:r>
    </w:p>
    <w:p>
      <w:pPr>
        <w:widowControl/>
        <w:spacing w:line="0" w:lineRule="atLeast"/>
        <w:jc w:val="distribute"/>
        <w:rPr>
          <w:rFonts w:ascii="Times New Roman" w:hAnsi="Times New Roman" w:eastAsia="黑体" w:cs="Times New Roman"/>
          <w:kern w:val="0"/>
          <w:sz w:val="52"/>
          <w:szCs w:val="20"/>
        </w:rPr>
      </w:pPr>
    </w:p>
    <w:p>
      <w:pPr>
        <w:widowControl/>
        <w:spacing w:line="0" w:lineRule="atLeast"/>
        <w:jc w:val="distribute"/>
        <w:rPr>
          <w:rFonts w:ascii="Times New Roman" w:hAnsi="Times New Roman" w:eastAsia="黑体" w:cs="Times New Roman"/>
          <w:kern w:val="0"/>
          <w:sz w:val="72"/>
          <w:szCs w:val="72"/>
        </w:rPr>
      </w:pPr>
      <w:r>
        <w:rPr>
          <w:rFonts w:hint="eastAsia" w:ascii="Times New Roman" w:hAnsi="Times New Roman" w:eastAsia="黑体" w:cs="Times New Roman"/>
          <w:kern w:val="0"/>
          <w:sz w:val="72"/>
          <w:szCs w:val="72"/>
        </w:rPr>
        <w:t>团体</w:t>
      </w:r>
      <w:r>
        <w:rPr>
          <w:rFonts w:ascii="Times New Roman" w:hAnsi="Times New Roman" w:eastAsia="黑体" w:cs="Times New Roman"/>
          <w:kern w:val="0"/>
          <w:sz w:val="72"/>
          <w:szCs w:val="72"/>
        </w:rPr>
        <w:t>标准</w:t>
      </w:r>
    </w:p>
    <w:p>
      <w:pPr>
        <w:kinsoku w:val="0"/>
        <w:overflowPunct w:val="0"/>
        <w:autoSpaceDE w:val="0"/>
        <w:autoSpaceDN w:val="0"/>
        <w:spacing w:before="308"/>
        <w:jc w:val="right"/>
        <w:textAlignment w:val="center"/>
        <w:rPr>
          <w:rFonts w:hint="eastAsia" w:ascii="黑体" w:hAnsi="黑体" w:eastAsia="黑体" w:cs="黑体"/>
          <w:kern w:val="0"/>
          <w:sz w:val="28"/>
          <w:szCs w:val="20"/>
        </w:rPr>
      </w:pPr>
      <w:r>
        <w:rPr>
          <w:rFonts w:hint="eastAsia" w:ascii="Calibri" w:hAnsi="Calibri" w:eastAsia="黑体" w:cs="Times New Roman"/>
          <w:kern w:val="0"/>
          <w:sz w:val="28"/>
          <w:szCs w:val="20"/>
        </w:rPr>
        <w:t>T/CCSAS</w:t>
      </w:r>
      <w:r>
        <w:rPr>
          <w:rFonts w:ascii="Calibri" w:hAnsi="Calibri" w:eastAsia="黑体" w:cs="Times New Roman"/>
          <w:kern w:val="0"/>
          <w:sz w:val="28"/>
          <w:szCs w:val="20"/>
        </w:rPr>
        <w:t xml:space="preserve"> </w:t>
      </w:r>
      <w:r>
        <w:rPr>
          <w:rFonts w:hint="eastAsia" w:ascii="Calibri" w:hAnsi="Calibri" w:eastAsia="黑体" w:cs="Times New Roman"/>
          <w:kern w:val="0"/>
          <w:sz w:val="28"/>
          <w:szCs w:val="20"/>
        </w:rPr>
        <w:t>0</w:t>
      </w:r>
      <w:r>
        <w:rPr>
          <w:rFonts w:hint="eastAsia" w:ascii="黑体" w:hAnsi="黑体" w:eastAsia="黑体" w:cs="黑体"/>
          <w:kern w:val="0"/>
          <w:sz w:val="28"/>
          <w:szCs w:val="20"/>
        </w:rPr>
        <w:t>XX—202X</w:t>
      </w:r>
    </w:p>
    <w:p>
      <w:pPr>
        <w:widowControl/>
        <w:autoSpaceDE w:val="0"/>
        <w:autoSpaceDN w:val="0"/>
        <w:ind w:firstLine="420" w:firstLineChars="200"/>
        <w:rPr>
          <w:rFonts w:ascii="Times New Roman" w:hAnsi="Calibri" w:eastAsia="宋体" w:cs="Times New Roman"/>
          <w:kern w:val="0"/>
          <w:szCs w:val="20"/>
        </w:rPr>
      </w:pPr>
    </w:p>
    <w:p>
      <w:pPr>
        <w:widowControl/>
        <w:autoSpaceDE w:val="0"/>
        <w:autoSpaceDN w:val="0"/>
        <w:ind w:firstLine="420" w:firstLineChars="200"/>
        <w:rPr>
          <w:rFonts w:ascii="Times New Roman" w:hAnsi="Calibri" w:eastAsia="宋体" w:cs="Times New Roman"/>
          <w:kern w:val="0"/>
          <w:szCs w:val="20"/>
        </w:rPr>
      </w:pPr>
      <w:r>
        <w:rPr>
          <w:rFonts w:ascii="Times New Roman" w:hAnsi="Calibri" w:eastAsia="宋体" w:cs="Times New Roman"/>
          <w:kern w:val="0"/>
          <w:szCs w:val="20"/>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22225</wp:posOffset>
                </wp:positionV>
                <wp:extent cx="6018530" cy="0"/>
                <wp:effectExtent l="5715" t="5080" r="5080" b="1397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2pt;margin-top:1.75pt;height:0pt;width:473.9pt;z-index:251662336;mso-width-relative:page;mso-height-relative:page;" filled="f" stroked="t" coordsize="21600,21600" o:gfxdata="UEsDBAoAAAAAAIdO4kAAAAAAAAAAAAAAAAAEAAAAZHJzL1BLAwQUAAAACACHTuJAe82bZtQAAAAH&#10;AQAADwAAAGRycy9kb3ducmV2LnhtbE2OwW7CMBBE75X6D9Yi9VKBHSgtpHFQVakHjgWkXk28JCnx&#10;OoodQvl6tr3Q49OMZl62OrtGnLALtScNyUSBQCq8ranUsNt+jBcgQjRkTeMJNfxggFV+f5eZ1PqB&#10;PvG0iaXgEQqp0VDF2KZShqJCZ8LEt0icHXznTGTsSmk7M/C4a+RUqWfpTE38UJkW3yssjpveacDQ&#10;zxP1tnTlbn0ZHr+ml++h3Wr9MErUK4iI53grw68+q0POTnvfkw2i0TBO1BNXNczmIDhfzl6Y938s&#10;80z+98+vUEsDBBQAAAAIAIdO4kDJ7D1A2gEAAHADAAAOAAAAZHJzL2Uyb0RvYy54bWytU81uEzEQ&#10;viPxDpbvZHdDU5VVNj2kKpcCkVoewLG9uxa2xxo72eQleAEkTsCJcuqdp4HyGNjODwVuiD1Ytsff&#10;N/N9Mzs93xhN1hK9AtvQalRSIi0HoWzX0Nc3l0/OKPGBWcE0WNnQrfT0fPb40XRwtRxDD1pIJJHE&#10;+npwDe1DcHVReN5Lw/wInLQx2AIaFuIRu0IgGyK70cW4LE+LAVA4BC69j7cXuyCdZf62lTy8alsv&#10;A9ENjbWFvGJel2ktZlNWd8hcr/i+DPYPVRimbEx6pLpggZEVqr+ojOIIHtow4mAKaFvFZdYQ1VTl&#10;H2que+Zk1hLN8e5ok/9/tPzleoFEiYaeUGKZiS26f3f3/e3H+y+33z7c/fj6Pu0/fyInyarB+Toi&#10;5naBSSzf2Gt3BfyNJxbmPbOdzCXfbF3kqRKi+A2SDt7FhMvhBYj4hq0CZN82LZpEGR0hm9ye7bE9&#10;chMIj5enZXU2eRq7yA+xgtUHoEMfnkswJG0a6gMy1fVhDtbGIQCschq2vvIhlcXqAyBltXCptM6z&#10;oC0ZGvpsMp5kgAetRAqmZx675VwjWbM0TfnLGmPk4TOElRW7JNruLUiqd/4tQWwXeLAmtjVXsx/B&#10;NDcPzxn960eZ/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zZtm1AAAAAcBAAAPAAAAAAAAAAEA&#10;IAAAACIAAABkcnMvZG93bnJldi54bWxQSwECFAAUAAAACACHTuJAyew9QNoBAABwAwAADgAAAAAA&#10;AAABACAAAAAjAQAAZHJzL2Uyb0RvYy54bWxQSwUGAAAAAAYABgBZAQAAbwUAAAAA&#10;">
                <v:fill on="f" focussize="0,0"/>
                <v:stroke color="#000000" joinstyle="round"/>
                <v:imagedata o:title=""/>
                <o:lock v:ext="edit" aspectratio="f"/>
              </v:shape>
            </w:pict>
          </mc:Fallback>
        </mc:AlternateContent>
      </w:r>
      <w:r>
        <w:rPr>
          <w:rFonts w:ascii="Times New Roman" w:hAnsi="Calibri" w:eastAsia="宋体" w:cs="Times New Roman"/>
          <w:kern w:val="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22225</wp:posOffset>
            </wp:positionV>
            <wp:extent cx="6120130" cy="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0130" cy="0"/>
                    </a:xfrm>
                    <a:prstGeom prst="rect">
                      <a:avLst/>
                    </a:prstGeom>
                    <a:noFill/>
                    <a:ln>
                      <a:noFill/>
                    </a:ln>
                  </pic:spPr>
                </pic:pic>
              </a:graphicData>
            </a:graphic>
          </wp:anchor>
        </w:drawing>
      </w:r>
    </w:p>
    <w:p>
      <w:pPr>
        <w:framePr w:w="9638" w:h="833" w:hRule="exact" w:wrap="around" w:vAnchor="margin" w:hAnchor="margin" w:xAlign="center" w:y="5955" w:anchorLock="1"/>
        <w:spacing w:line="680" w:lineRule="exact"/>
        <w:jc w:val="center"/>
        <w:textAlignment w:val="center"/>
        <w:rPr>
          <w:rFonts w:ascii="Times New Roman" w:hAnsi="Calibri" w:eastAsia="黑体" w:cs="Times New Roman"/>
          <w:kern w:val="0"/>
          <w:sz w:val="52"/>
          <w:szCs w:val="20"/>
        </w:rPr>
      </w:pPr>
      <w:r>
        <w:rPr>
          <w:rFonts w:hint="eastAsia" w:ascii="Times New Roman" w:hAnsi="Calibri" w:eastAsia="黑体" w:cs="Times New Roman"/>
          <w:kern w:val="0"/>
          <w:sz w:val="52"/>
          <w:szCs w:val="20"/>
        </w:rPr>
        <w:t>化工企业承包商管理指南</w:t>
      </w:r>
    </w:p>
    <w:p>
      <w:pPr>
        <w:spacing w:before="370" w:line="400" w:lineRule="exact"/>
        <w:rPr>
          <w:rFonts w:ascii="Calibri" w:hAnsi="Calibri" w:eastAsia="宋体" w:cs="Times New Roman"/>
          <w:kern w:val="0"/>
          <w:sz w:val="28"/>
          <w:szCs w:val="20"/>
        </w:rPr>
      </w:pPr>
    </w:p>
    <w:p>
      <w:pPr>
        <w:widowControl/>
        <w:autoSpaceDE w:val="0"/>
        <w:autoSpaceDN w:val="0"/>
        <w:ind w:firstLine="420" w:firstLineChars="200"/>
        <w:rPr>
          <w:rFonts w:ascii="Times New Roman" w:hAnsi="Calibri" w:eastAsia="宋体" w:cs="Times New Roman"/>
          <w:kern w:val="0"/>
          <w:szCs w:val="20"/>
        </w:rPr>
      </w:pPr>
    </w:p>
    <w:p>
      <w:pPr>
        <w:widowControl/>
        <w:autoSpaceDE w:val="0"/>
        <w:autoSpaceDN w:val="0"/>
        <w:ind w:firstLine="420" w:firstLineChars="200"/>
        <w:rPr>
          <w:rFonts w:ascii="Times New Roman" w:hAnsi="Calibri" w:eastAsia="宋体" w:cs="Times New Roman"/>
          <w:kern w:val="0"/>
          <w:szCs w:val="20"/>
        </w:rPr>
      </w:pPr>
    </w:p>
    <w:p>
      <w:pPr>
        <w:widowControl/>
        <w:autoSpaceDE w:val="0"/>
        <w:autoSpaceDN w:val="0"/>
        <w:ind w:firstLine="420" w:firstLineChars="200"/>
        <w:rPr>
          <w:rFonts w:ascii="Times New Roman" w:hAnsi="Calibri" w:eastAsia="宋体" w:cs="Times New Roman"/>
          <w:kern w:val="0"/>
          <w:szCs w:val="20"/>
        </w:rPr>
      </w:pPr>
    </w:p>
    <w:p>
      <w:pPr>
        <w:widowControl/>
        <w:spacing w:before="440" w:line="400" w:lineRule="exact"/>
        <w:jc w:val="center"/>
        <w:rPr>
          <w:rFonts w:ascii="Times New Roman" w:hAnsi="Calibri" w:eastAsia="宋体" w:cs="Times New Roman"/>
          <w:kern w:val="0"/>
          <w:sz w:val="28"/>
          <w:szCs w:val="20"/>
        </w:rPr>
      </w:pPr>
      <w:r>
        <w:rPr>
          <w:rFonts w:ascii="Times New Roman" w:hAnsi="Calibri" w:eastAsia="黑体" w:cs="Times New Roman"/>
          <w:kern w:val="0"/>
          <w:sz w:val="28"/>
          <w:szCs w:val="28"/>
        </w:rPr>
        <w:t>Guidelines for contractor management in chemical enterprises</w:t>
      </w:r>
    </w:p>
    <w:p>
      <w:pPr>
        <w:widowControl/>
        <w:spacing w:before="440" w:line="400" w:lineRule="exact"/>
        <w:jc w:val="center"/>
        <w:rPr>
          <w:rFonts w:hint="eastAsia" w:ascii="Times New Roman" w:hAnsi="Calibri" w:eastAsia="宋体" w:cs="Times New Roman"/>
          <w:kern w:val="0"/>
          <w:sz w:val="24"/>
          <w:szCs w:val="24"/>
          <w:lang w:eastAsia="zh-CN"/>
        </w:rPr>
      </w:pPr>
      <w:r>
        <w:rPr>
          <w:rFonts w:hint="eastAsia" w:ascii="Times New Roman" w:hAnsi="Calibri" w:eastAsia="宋体" w:cs="Times New Roman"/>
          <w:kern w:val="0"/>
          <w:sz w:val="24"/>
          <w:szCs w:val="24"/>
          <w:lang w:eastAsia="zh-CN"/>
        </w:rPr>
        <w:t>（</w:t>
      </w:r>
      <w:r>
        <w:rPr>
          <w:rFonts w:hint="eastAsia" w:ascii="Times New Roman" w:hAnsi="Calibri" w:eastAsia="宋体" w:cs="Times New Roman"/>
          <w:kern w:val="0"/>
          <w:sz w:val="24"/>
          <w:szCs w:val="24"/>
          <w:lang w:val="en-US" w:eastAsia="zh-CN"/>
        </w:rPr>
        <w:t>征求意见稿</w:t>
      </w:r>
      <w:r>
        <w:rPr>
          <w:rFonts w:hint="eastAsia" w:ascii="Times New Roman" w:hAnsi="Calibri" w:eastAsia="宋体" w:cs="Times New Roman"/>
          <w:kern w:val="0"/>
          <w:sz w:val="24"/>
          <w:szCs w:val="24"/>
          <w:lang w:eastAsia="zh-CN"/>
        </w:rPr>
        <w:t>）</w:t>
      </w:r>
    </w:p>
    <w:p>
      <w:pPr>
        <w:widowControl/>
        <w:spacing w:before="440" w:line="400" w:lineRule="exact"/>
        <w:jc w:val="center"/>
        <w:rPr>
          <w:rFonts w:ascii="Times New Roman" w:hAnsi="Calibri" w:eastAsia="宋体" w:cs="Times New Roman"/>
          <w:color w:val="FF0000"/>
          <w:kern w:val="0"/>
          <w:sz w:val="24"/>
          <w:szCs w:val="20"/>
        </w:rPr>
      </w:pPr>
    </w:p>
    <w:p>
      <w:pPr>
        <w:widowControl/>
        <w:autoSpaceDE w:val="0"/>
        <w:autoSpaceDN w:val="0"/>
        <w:ind w:firstLine="420" w:firstLineChars="200"/>
        <w:rPr>
          <w:rFonts w:ascii="Times New Roman" w:hAnsi="Calibri" w:eastAsia="宋体" w:cs="Times New Roman"/>
          <w:kern w:val="0"/>
          <w:szCs w:val="20"/>
        </w:rPr>
      </w:pPr>
    </w:p>
    <w:p>
      <w:pPr>
        <w:widowControl/>
        <w:autoSpaceDE w:val="0"/>
        <w:autoSpaceDN w:val="0"/>
        <w:ind w:firstLine="420" w:firstLineChars="200"/>
        <w:rPr>
          <w:rFonts w:ascii="Times New Roman" w:hAnsi="Calibri" w:eastAsia="宋体" w:cs="Times New Roman"/>
          <w:kern w:val="0"/>
          <w:szCs w:val="20"/>
        </w:rPr>
      </w:pPr>
    </w:p>
    <w:p>
      <w:pPr>
        <w:widowControl/>
        <w:autoSpaceDE w:val="0"/>
        <w:autoSpaceDN w:val="0"/>
        <w:ind w:firstLine="420" w:firstLineChars="200"/>
        <w:rPr>
          <w:rFonts w:ascii="Times New Roman" w:hAnsi="Calibri" w:eastAsia="宋体" w:cs="Times New Roman"/>
          <w:kern w:val="0"/>
          <w:szCs w:val="20"/>
        </w:rPr>
      </w:pPr>
    </w:p>
    <w:p>
      <w:pPr>
        <w:framePr w:w="8409" w:h="585" w:hRule="exact" w:hSpace="180" w:vSpace="180" w:wrap="around" w:vAnchor="page" w:hAnchor="page" w:x="1877" w:y="15159" w:anchorLock="1"/>
        <w:widowControl/>
        <w:jc w:val="center"/>
        <w:rPr>
          <w:rFonts w:ascii="Times New Roman" w:hAnsi="Calibri" w:eastAsia="宋体" w:cs="Times New Roman"/>
          <w:b/>
          <w:spacing w:val="20"/>
          <w:w w:val="135"/>
          <w:kern w:val="0"/>
          <w:sz w:val="36"/>
          <w:szCs w:val="20"/>
        </w:rPr>
      </w:pPr>
      <w:r>
        <w:rPr>
          <w:rFonts w:hint="eastAsia" w:ascii="Times New Roman" w:hAnsi="Calibri" w:eastAsia="宋体" w:cs="Times New Roman"/>
          <w:b/>
          <w:spacing w:val="20"/>
          <w:w w:val="135"/>
          <w:kern w:val="0"/>
          <w:sz w:val="36"/>
          <w:szCs w:val="20"/>
        </w:rPr>
        <w:t>中国化学品安全协会</w:t>
      </w:r>
      <w:r>
        <w:rPr>
          <w:rFonts w:ascii="Times New Roman" w:hAnsi="Calibri" w:eastAsia="宋体" w:cs="Times New Roman"/>
          <w:b/>
          <w:spacing w:val="20"/>
          <w:w w:val="135"/>
          <w:kern w:val="0"/>
          <w:sz w:val="36"/>
          <w:szCs w:val="20"/>
        </w:rPr>
        <w:t xml:space="preserve">  </w:t>
      </w:r>
      <w:r>
        <w:rPr>
          <w:rFonts w:ascii="Times New Roman" w:hAnsi="Calibri" w:eastAsia="黑体" w:cs="Times New Roman"/>
          <w:b/>
          <w:spacing w:val="22"/>
          <w:kern w:val="0"/>
          <w:position w:val="3"/>
          <w:sz w:val="28"/>
          <w:szCs w:val="20"/>
        </w:rPr>
        <w:t>发布</w:t>
      </w:r>
    </w:p>
    <w:p>
      <w:pPr>
        <w:widowControl/>
        <w:autoSpaceDE w:val="0"/>
        <w:autoSpaceDN w:val="0"/>
        <w:ind w:firstLine="420" w:firstLineChars="200"/>
        <w:rPr>
          <w:rFonts w:ascii="Times New Roman" w:hAnsi="Calibri" w:eastAsia="宋体" w:cs="Times New Roman"/>
          <w:kern w:val="0"/>
          <w:szCs w:val="20"/>
        </w:rPr>
      </w:pPr>
    </w:p>
    <w:p>
      <w:pPr>
        <w:framePr w:w="4000" w:h="473" w:hRule="exact" w:vSpace="180" w:wrap="around" w:vAnchor="margin" w:hAnchor="margin" w:xAlign="right" w:y="13511" w:anchorLock="1"/>
        <w:widowControl/>
        <w:jc w:val="right"/>
        <w:rPr>
          <w:rFonts w:ascii="Calibri" w:hAnsi="Calibri" w:eastAsia="黑体" w:cs="Times New Roman"/>
          <w:kern w:val="0"/>
          <w:sz w:val="28"/>
          <w:szCs w:val="20"/>
        </w:rPr>
      </w:pPr>
    </w:p>
    <w:p>
      <w:pPr>
        <w:framePr w:w="4000" w:h="473" w:hRule="exact" w:vSpace="180" w:wrap="around" w:vAnchor="margin" w:hAnchor="margin" w:xAlign="right" w:y="13511" w:anchorLock="1"/>
        <w:widowControl/>
        <w:jc w:val="right"/>
        <w:rPr>
          <w:rFonts w:ascii="Calibri" w:hAnsi="Calibri" w:eastAsia="黑体" w:cs="Times New Roman"/>
          <w:kern w:val="0"/>
          <w:sz w:val="28"/>
          <w:szCs w:val="20"/>
        </w:rPr>
      </w:pPr>
    </w:p>
    <w:p>
      <w:pPr>
        <w:framePr w:w="9440" w:h="514" w:hRule="exact" w:hSpace="180" w:vSpace="180" w:wrap="around" w:vAnchor="page" w:hAnchor="page" w:x="1353" w:y="14347" w:anchorLock="1"/>
        <w:widowControl/>
        <w:jc w:val="left"/>
        <w:rPr>
          <w:rFonts w:hint="eastAsia" w:ascii="黑体" w:hAnsi="黑体" w:eastAsia="黑体" w:cs="黑体"/>
          <w:kern w:val="0"/>
          <w:sz w:val="28"/>
          <w:szCs w:val="20"/>
        </w:rPr>
      </w:pPr>
      <w:r>
        <w:rPr>
          <w:rFonts w:hint="eastAsia" w:ascii="黑体" w:hAnsi="黑体" w:eastAsia="黑体" w:cs="黑体"/>
          <w:kern w:val="0"/>
          <w:sz w:val="28"/>
          <w:szCs w:val="20"/>
        </w:rPr>
        <mc:AlternateContent>
          <mc:Choice Requires="wps">
            <w:drawing>
              <wp:anchor distT="0" distB="0" distL="114300" distR="114300" simplePos="0" relativeHeight="251660288" behindDoc="0" locked="0" layoutInCell="1" allowOverlap="1">
                <wp:simplePos x="0" y="0"/>
                <wp:positionH relativeFrom="page">
                  <wp:posOffset>954405</wp:posOffset>
                </wp:positionH>
                <wp:positionV relativeFrom="page">
                  <wp:posOffset>9544050</wp:posOffset>
                </wp:positionV>
                <wp:extent cx="6120130" cy="0"/>
                <wp:effectExtent l="11430" t="9525" r="1206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FFFFFF"/>
                          </a:solidFill>
                          <a:round/>
                        </a:ln>
                      </wps:spPr>
                      <wps:bodyPr/>
                    </wps:wsp>
                  </a:graphicData>
                </a:graphic>
              </wp:anchor>
            </w:drawing>
          </mc:Choice>
          <mc:Fallback>
            <w:pict>
              <v:line id="_x0000_s1026" o:spid="_x0000_s1026" o:spt="20" style="position:absolute;left:0pt;margin-left:75.15pt;margin-top:751.5pt;height:0pt;width:481.9pt;mso-position-horizontal-relative:page;mso-position-vertical-relative:page;z-index:251660288;mso-width-relative:page;mso-height-relative:page;" filled="f" stroked="t" coordsize="21600,21600" o:gfxdata="UEsDBAoAAAAAAIdO4kAAAAAAAAAAAAAAAAAEAAAAZHJzL1BLAwQUAAAACACHTuJAoi5u/tYAAAAO&#10;AQAADwAAAGRycy9kb3ducmV2LnhtbE2PS0/DMBCE70j8B2uRuFHbvFKlcXpAVMCxBakct/GSRPUj&#10;st025dfjClVw29kdzX5TzUdr2J5C7L1TICcCGLnG6961Cj7eFzdTYDGh02i8IwVHijCvLy8qLLU/&#10;uCXtV6llOcTFEhV0KQ0l57HpyGKc+IFcvn35YDFlGVquAx5yuDX8VohHbrF3+UOHAz111GxXO6ug&#10;fV4sC1yHt+P6ZVvY8fuzMPxVqesrKWbAEo3pzwwn/IwOdWba+J3TkZmsH8Rdtv4OudXJIuW9BLY5&#10;73hd8f816h9QSwMEFAAAAAgAh07iQF29HZrJAQAAXQMAAA4AAABkcnMvZTJvRG9jLnhtbK1TzY7T&#10;MBC+I/EOlu80aZEWFDXdQ1flskClXR5g6jiJhe2xbLdJX4IXQOIGJ47ceRt2H4Ox+8PuckPkMIo9&#10;M5+/7xt7fjkazXbSB4W25tNJyZm0Ahtlu5p/uF29eM1ZiGAb0Ghlzfcy8MvF82fzwVVyhj3qRnpG&#10;IDZUg6t5H6OriiKIXhoIE3TSUrJFbyDS0ndF42EgdKOLWVleFAP6xnkUMgTavTok+SLjt60U8X3b&#10;BhmZrjlxizn6HDcpFos5VJ0H1ytxpAH/wMKAsnToGeoKIrCtV39BGSU8BmzjRKApsG2VkFkDqZmW&#10;T9Tc9OBk1kLmBHe2Kfw/WPFut/ZMNTWfcWbB0IjuPv/49enr/c8vFO++f2OzZNLgQkW1S7v2SaYY&#10;7Y27RvExMIvLHmwnM9nbvSOEaeooHrWkRXB01GZ4iw3VwDZidmxsvUmQ5AUb82D258HIMTJBmxdT&#10;cuclzU+ccgVUp0bnQ3wj0bD0U3OtbPIMKthdh5iIQHUqSdsWV0rrPHdt2UBsZ6/KMncE1KpJ2VQX&#10;fLdZas92QFdnlb8sizIPyzxubXM4Rduj6iT0YNkGm/3an9ygGWY6x/uWLsnDde7+8y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iLm7+1gAAAA4BAAAPAAAAAAAAAAEAIAAAACIAAABkcnMvZG93&#10;bnJldi54bWxQSwECFAAUAAAACACHTuJAXb0dmskBAABdAwAADgAAAAAAAAABACAAAAAlAQAAZHJz&#10;L2Uyb0RvYy54bWxQSwUGAAAAAAYABgBZAQAAYAUAAAAA&#10;">
                <v:fill on="f" focussize="0,0"/>
                <v:stroke weight="1pt" color="#FFFFFF" joinstyle="round"/>
                <v:imagedata o:title=""/>
                <o:lock v:ext="edit" aspectratio="f"/>
              </v:line>
            </w:pict>
          </mc:Fallback>
        </mc:AlternateContent>
      </w:r>
      <w:r>
        <w:rPr>
          <w:rFonts w:hint="eastAsia" w:ascii="黑体" w:hAnsi="黑体" w:eastAsia="黑体" w:cs="黑体"/>
          <w:kern w:val="0"/>
          <w:sz w:val="28"/>
          <w:szCs w:val="20"/>
        </w:rPr>
        <w:t>202</w:t>
      </w:r>
      <w:r>
        <w:rPr>
          <w:rFonts w:ascii="黑体" w:hAnsi="黑体" w:eastAsia="黑体" w:cs="黑体"/>
          <w:kern w:val="0"/>
          <w:sz w:val="28"/>
          <w:szCs w:val="20"/>
        </w:rPr>
        <w:t>0</w:t>
      </w:r>
      <w:r>
        <w:rPr>
          <w:rFonts w:hint="eastAsia" w:ascii="黑体" w:hAnsi="黑体" w:eastAsia="黑体" w:cs="黑体"/>
          <w:kern w:val="0"/>
          <w:sz w:val="28"/>
          <w:szCs w:val="20"/>
        </w:rPr>
        <w:t xml:space="preserve">-XX-XX发布   </w:t>
      </w:r>
      <w:r>
        <w:rPr>
          <w:rFonts w:ascii="Calibri" w:hAnsi="Calibri" w:eastAsia="黑体" w:cs="Times New Roman"/>
          <w:kern w:val="0"/>
          <w:sz w:val="28"/>
          <w:szCs w:val="20"/>
        </w:rPr>
        <w:t xml:space="preserve">   </w:t>
      </w:r>
      <w:r>
        <w:rPr>
          <w:rFonts w:hint="eastAsia" w:ascii="黑体" w:hAnsi="黑体" w:eastAsia="黑体" w:cs="黑体"/>
          <w:kern w:val="0"/>
          <w:sz w:val="28"/>
          <w:szCs w:val="20"/>
        </w:rPr>
        <w:t xml:space="preserve">                                202</w:t>
      </w:r>
      <w:r>
        <w:rPr>
          <w:rFonts w:ascii="黑体" w:hAnsi="黑体" w:eastAsia="黑体" w:cs="黑体"/>
          <w:kern w:val="0"/>
          <w:sz w:val="28"/>
          <w:szCs w:val="20"/>
        </w:rPr>
        <w:t>0</w:t>
      </w:r>
      <w:r>
        <w:rPr>
          <w:rFonts w:hint="eastAsia" w:ascii="黑体" w:hAnsi="黑体" w:eastAsia="黑体" w:cs="黑体"/>
          <w:kern w:val="0"/>
          <w:sz w:val="28"/>
          <w:szCs w:val="20"/>
        </w:rPr>
        <w:t>-XX-XX实施</w:t>
      </w:r>
    </w:p>
    <w:p>
      <w:pPr>
        <w:widowControl/>
        <w:shd w:val="clear" w:color="FFFFFF" w:fill="FFFFFF"/>
        <w:spacing w:before="640" w:after="560" w:line="460" w:lineRule="exact"/>
        <w:outlineLvl w:val="0"/>
        <w:rPr>
          <w:rFonts w:ascii="Times New Roman" w:hAnsi="Calibri" w:eastAsia="黑体" w:cs="Times New Roman"/>
          <w:kern w:val="0"/>
          <w:sz w:val="32"/>
          <w:szCs w:val="20"/>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418" w:footer="851" w:gutter="0"/>
          <w:pgNumType w:fmt="upperRoman" w:start="1"/>
          <w:cols w:space="720" w:num="1"/>
          <w:titlePg/>
          <w:docGrid w:type="lines" w:linePitch="312" w:charSpace="0"/>
        </w:sectPr>
      </w:pPr>
      <w:r>
        <w:rPr>
          <w:rFonts w:ascii="黑体" w:hAnsi="Calibri" w:eastAsia="黑体" w:cs="Times New Roman"/>
          <w:kern w:val="0"/>
          <w:sz w:val="32"/>
          <w:szCs w:val="20"/>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1871980</wp:posOffset>
                </wp:positionV>
                <wp:extent cx="6018530" cy="0"/>
                <wp:effectExtent l="11430" t="11430" r="8890" b="762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9pt;margin-top:147.4pt;height:0pt;width:473.9pt;z-index:251661312;mso-width-relative:page;mso-height-relative:page;" filled="f" stroked="t" coordsize="21600,21600" o:gfxdata="UEsDBAoAAAAAAIdO4kAAAAAAAAAAAAAAAAAEAAAAZHJzL1BLAwQUAAAACACHTuJAzd9u5NcAAAAK&#10;AQAADwAAAGRycy9kb3ducmV2LnhtbE2PQWvDMAyF74P9B6PBLqO1E7qyZHFKKeyw49rCrm6sJdli&#10;OcRO0/XXT4XCepP0Hk/fK1Yn14kjDqH1pCGZKxBIlbct1Rr2u7fZC4gQDVnTeUINvxhgVd7fFSa3&#10;fqIPPG5jLTiEQm40NDH2uZShatCZMPc9EmtffnAm8jrU0g5m4nDXyVSppXSmJf7QmB43DVY/29Fp&#10;wDA+J2qduXr/fp6ePtPz99TvtH58SNQriIin+G+GCz6jQ8lMBz+SDaLTMEuYPGpIswUPbMgWSy53&#10;uF5kWcjbCuUfUEsDBBQAAAAIAIdO4kAeJvOi2AEAAHADAAAOAAAAZHJzL2Uyb0RvYy54bWytU8GO&#10;0zAQvSPxD5bvNElRV0vUdA9dLZcFKu3yAa7jJBaOxxq7TfoT/AASJ+AEe9o7XwPLZzB2t4WFGyIH&#10;y56Z92bezGR+NvaGbRV6DbbixSTnTFkJtbZtxV9fXzw55cwHYWthwKqK75TnZ4vHj+aDK9UUOjC1&#10;QkYk1peDq3gXgiuzzMtO9cJPwClLzgawF4Ge2GY1ioHYe5NN8/wkGwBrhyCV92Q93zv5IvE3jZLh&#10;VdN4FZipONUW0onpXMczW8xF2aJwnZb3ZYh/qKIX2lLSI9W5CIJtUP9F1WuJ4KEJEwl9Bk2jpUoa&#10;SE2R/6HmqhNOJS3UHO+ObfL/j1a+3K6Q6Zpmx5kVPY3o7t3t97cf726+fPtw++Pr+3j//IkVsVWD&#10;8yUhlnaFUawc7ZW7BPnGMwvLTthWpZKvd454EiJ7AIkP7yjhengBNcWITYDUt7HBPlJSR9iYxrM7&#10;jkeNgUkynuTF6ewpTVEefJkoD0CHPjxX0LN4qbgPKHTbhSVYS0sAWKQ0YnvpAwkh4AEQs1q40Mak&#10;XTCWDRV/NpvOEsCD0XV0xjCP7XppkG1F3Kb0xa4Q2YMwhI2t93ZjyX1Qve/fGurdCqM72mmsieB+&#10;BePe/P5OUb9+lM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d9u5NcAAAAKAQAADwAAAAAAAAAB&#10;ACAAAAAiAAAAZHJzL2Rvd25yZXYueG1sUEsBAhQAFAAAAAgAh07iQB4m86LYAQAAcAMAAA4AAAAA&#10;AAAAAQAgAAAAJgEAAGRycy9lMm9Eb2MueG1sUEsFBgAAAAAGAAYAWQEAAHAFAAAAAA==&#10;">
                <v:fill on="f" focussize="0,0"/>
                <v:stroke color="#000000" joinstyle="round"/>
                <v:imagedata o:title=""/>
                <o:lock v:ext="edit" aspectratio="f"/>
              </v:shape>
            </w:pict>
          </mc:Fallback>
        </mc:AlternateContent>
      </w:r>
    </w:p>
    <w:p>
      <w:pPr>
        <w:widowControl/>
        <w:shd w:val="clear" w:color="FFFFFF" w:fill="FFFFFF"/>
        <w:spacing w:before="640" w:after="560" w:line="460" w:lineRule="exact"/>
        <w:jc w:val="center"/>
        <w:outlineLvl w:val="0"/>
        <w:rPr>
          <w:rFonts w:ascii="Times New Roman" w:hAnsi="Calibri" w:eastAsia="黑体" w:cs="Times New Roman"/>
          <w:kern w:val="0"/>
          <w:sz w:val="32"/>
          <w:szCs w:val="20"/>
        </w:rPr>
      </w:pPr>
      <w:bookmarkStart w:id="0" w:name="_Toc450060083"/>
      <w:bookmarkStart w:id="1" w:name="_Toc450060298"/>
      <w:bookmarkStart w:id="2" w:name="_Toc476055396"/>
      <w:bookmarkStart w:id="3" w:name="_Toc502309231"/>
      <w:r>
        <w:rPr>
          <w:rFonts w:ascii="Times New Roman" w:hAnsi="Calibri" w:eastAsia="黑体" w:cs="Times New Roman"/>
          <w:kern w:val="0"/>
          <w:sz w:val="32"/>
          <w:szCs w:val="20"/>
        </w:rPr>
        <w:t>目    次</w:t>
      </w:r>
      <w:bookmarkEnd w:id="0"/>
      <w:bookmarkEnd w:id="1"/>
      <w:bookmarkEnd w:id="2"/>
      <w:bookmarkEnd w:id="3"/>
    </w:p>
    <w:p>
      <w:pPr>
        <w:widowControl/>
        <w:tabs>
          <w:tab w:val="right" w:leader="dot" w:pos="9345"/>
        </w:tabs>
        <w:rPr>
          <w:rFonts w:ascii="宋体" w:hAnsi="宋体" w:eastAsia="宋体" w:cs="Times New Roman"/>
          <w:lang w:val="en-US" w:eastAsia="zh-CN"/>
        </w:rPr>
      </w:pPr>
      <w:r>
        <w:rPr>
          <w:rFonts w:ascii="Times New Roman" w:hAnsi="Calibri" w:eastAsia="宋体" w:cs="Times New Roman"/>
          <w:kern w:val="0"/>
          <w:szCs w:val="20"/>
        </w:rPr>
        <w:fldChar w:fldCharType="begin"/>
      </w:r>
      <w:r>
        <w:rPr>
          <w:rFonts w:ascii="Times New Roman" w:hAnsi="Calibri" w:eastAsia="宋体" w:cs="Times New Roman"/>
          <w:kern w:val="0"/>
          <w:szCs w:val="20"/>
        </w:rPr>
        <w:instrText xml:space="preserve"> TOC \o "1-3" \h \z \u </w:instrText>
      </w:r>
      <w:r>
        <w:rPr>
          <w:rFonts w:ascii="Times New Roman" w:hAnsi="Calibri" w:eastAsia="宋体" w:cs="Times New Roman"/>
          <w:kern w:val="0"/>
          <w:szCs w:val="20"/>
        </w:rPr>
        <w:fldChar w:fldCharType="separate"/>
      </w:r>
      <w:r>
        <w:fldChar w:fldCharType="begin"/>
      </w:r>
      <w:r>
        <w:instrText xml:space="preserve"> HYPERLINK \l "_Toc502309232" </w:instrText>
      </w:r>
      <w:r>
        <w:fldChar w:fldCharType="separate"/>
      </w:r>
      <w:r>
        <w:rPr>
          <w:rFonts w:hint="eastAsia" w:ascii="宋体" w:hAnsi="宋体" w:eastAsia="宋体" w:cs="Times New Roman"/>
          <w:kern w:val="0"/>
          <w:szCs w:val="20"/>
          <w:lang w:val="en-US" w:eastAsia="zh-CN"/>
        </w:rPr>
        <w:t>前</w:t>
      </w:r>
      <w:r>
        <w:rPr>
          <w:rFonts w:ascii="宋体" w:hAnsi="宋体" w:eastAsia="宋体" w:cs="Times New Roman"/>
          <w:kern w:val="0"/>
          <w:szCs w:val="20"/>
          <w:lang w:val="en-US" w:eastAsia="zh-CN"/>
        </w:rPr>
        <w:t xml:space="preserve">    </w:t>
      </w:r>
      <w:r>
        <w:rPr>
          <w:rFonts w:hint="eastAsia" w:ascii="宋体" w:hAnsi="宋体" w:eastAsia="宋体" w:cs="Times New Roman"/>
          <w:kern w:val="0"/>
          <w:szCs w:val="20"/>
          <w:lang w:val="en-US" w:eastAsia="zh-CN"/>
        </w:rPr>
        <w:t>言</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_Toc502309232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II</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"_Toc502309233" </w:instrText>
      </w:r>
      <w:r>
        <w:fldChar w:fldCharType="separate"/>
      </w:r>
      <w:r>
        <w:rPr>
          <w:rFonts w:hint="eastAsia" w:ascii="宋体" w:hAnsi="宋体" w:eastAsia="宋体" w:cs="Times New Roman"/>
          <w:kern w:val="0"/>
          <w:szCs w:val="20"/>
          <w:lang w:val="en-US" w:eastAsia="zh-CN"/>
        </w:rPr>
        <w:t>引</w:t>
      </w:r>
      <w:r>
        <w:rPr>
          <w:rFonts w:ascii="宋体" w:hAnsi="宋体" w:eastAsia="宋体" w:cs="Times New Roman"/>
          <w:kern w:val="0"/>
          <w:szCs w:val="20"/>
          <w:lang w:val="en-US" w:eastAsia="zh-CN"/>
        </w:rPr>
        <w:t xml:space="preserve">    </w:t>
      </w:r>
      <w:r>
        <w:rPr>
          <w:rFonts w:hint="eastAsia" w:ascii="宋体" w:hAnsi="宋体" w:eastAsia="宋体" w:cs="Times New Roman"/>
          <w:kern w:val="0"/>
          <w:szCs w:val="20"/>
          <w:lang w:val="en-US" w:eastAsia="zh-CN"/>
        </w:rPr>
        <w:t>言</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_Toc502309233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III</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"_Toc502309234" </w:instrText>
      </w:r>
      <w:r>
        <w:fldChar w:fldCharType="separate"/>
      </w:r>
      <w:r>
        <w:rPr>
          <w:rFonts w:ascii="宋体" w:hAnsi="宋体" w:eastAsia="宋体" w:cs="Times New Roman"/>
          <w:kern w:val="0"/>
          <w:szCs w:val="20"/>
          <w:lang w:val="en-US" w:eastAsia="zh-CN"/>
        </w:rPr>
        <w:t xml:space="preserve">1  </w:t>
      </w:r>
      <w:r>
        <w:rPr>
          <w:rFonts w:hint="eastAsia" w:ascii="宋体" w:hAnsi="宋体" w:eastAsia="宋体" w:cs="Times New Roman"/>
          <w:kern w:val="0"/>
          <w:szCs w:val="20"/>
          <w:lang w:val="en-US" w:eastAsia="zh-CN"/>
        </w:rPr>
        <w:t>范围</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_Toc502309234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"_Toc502309235" </w:instrText>
      </w:r>
      <w:r>
        <w:fldChar w:fldCharType="separate"/>
      </w:r>
      <w:r>
        <w:rPr>
          <w:rFonts w:ascii="宋体" w:hAnsi="宋体" w:eastAsia="宋体" w:cs="Times New Roman"/>
          <w:kern w:val="0"/>
          <w:szCs w:val="20"/>
          <w:lang w:val="en-US" w:eastAsia="zh-CN"/>
        </w:rPr>
        <w:t xml:space="preserve">2  </w:t>
      </w:r>
      <w:r>
        <w:rPr>
          <w:rFonts w:hint="eastAsia" w:ascii="宋体" w:hAnsi="宋体" w:eastAsia="宋体" w:cs="Times New Roman"/>
          <w:kern w:val="0"/>
          <w:szCs w:val="20"/>
          <w:lang w:val="en-US" w:eastAsia="zh-CN"/>
        </w:rPr>
        <w:t>规范性引用文件</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_Toc502309235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"_Toc502309236" </w:instrText>
      </w:r>
      <w:r>
        <w:fldChar w:fldCharType="separate"/>
      </w:r>
      <w:r>
        <w:rPr>
          <w:rFonts w:ascii="宋体" w:hAnsi="宋体" w:eastAsia="宋体" w:cs="Times New Roman"/>
          <w:kern w:val="0"/>
          <w:szCs w:val="20"/>
          <w:lang w:val="en-US" w:eastAsia="zh-CN"/>
        </w:rPr>
        <w:t xml:space="preserve">3  </w:t>
      </w:r>
      <w:r>
        <w:rPr>
          <w:rFonts w:hint="eastAsia" w:ascii="宋体" w:hAnsi="宋体" w:eastAsia="宋体" w:cs="Times New Roman"/>
          <w:kern w:val="0"/>
          <w:szCs w:val="20"/>
          <w:lang w:val="en-US" w:eastAsia="zh-CN"/>
        </w:rPr>
        <w:t>术语和定义</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_Toc502309236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"_Toc502309237" </w:instrText>
      </w:r>
      <w:r>
        <w:fldChar w:fldCharType="separate"/>
      </w:r>
      <w:r>
        <w:rPr>
          <w:rFonts w:ascii="宋体" w:hAnsi="宋体" w:eastAsia="宋体" w:cs="Times New Roman"/>
          <w:kern w:val="0"/>
          <w:szCs w:val="20"/>
          <w:lang w:val="en-US" w:eastAsia="zh-CN"/>
        </w:rPr>
        <w:t xml:space="preserve">4  </w:t>
      </w:r>
      <w:r>
        <w:rPr>
          <w:rFonts w:hint="eastAsia" w:ascii="宋体" w:hAnsi="宋体" w:eastAsia="宋体" w:cs="Times New Roman"/>
          <w:kern w:val="0"/>
          <w:szCs w:val="20"/>
          <w:lang w:val="en-US" w:eastAsia="zh-CN"/>
        </w:rPr>
        <w:t>基本要求</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_Toc502309237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2</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"_Toc502309243" </w:instrText>
      </w:r>
      <w:r>
        <w:fldChar w:fldCharType="separate"/>
      </w:r>
      <w:r>
        <w:rPr>
          <w:rFonts w:ascii="宋体" w:hAnsi="宋体" w:eastAsia="宋体" w:cs="Times New Roman"/>
          <w:kern w:val="0"/>
          <w:szCs w:val="20"/>
          <w:lang w:val="en-US" w:eastAsia="zh-CN"/>
        </w:rPr>
        <w:t xml:space="preserve">5  </w:t>
      </w:r>
      <w:r>
        <w:rPr>
          <w:rFonts w:hint="eastAsia" w:ascii="宋体" w:hAnsi="宋体" w:eastAsia="宋体" w:cs="Times New Roman"/>
          <w:kern w:val="0"/>
          <w:szCs w:val="20"/>
          <w:lang w:val="en-US" w:eastAsia="zh-CN"/>
        </w:rPr>
        <w:t>核心要求</w:t>
      </w:r>
      <w:bookmarkStart w:id="4" w:name="_Hlt36199824"/>
      <w:bookmarkEnd w:id="4"/>
      <w:bookmarkStart w:id="5" w:name="_Hlt36199825"/>
      <w:bookmarkEnd w:id="5"/>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_Toc502309243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9</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"_Toc502309244" </w:instrText>
      </w:r>
      <w:r>
        <w:fldChar w:fldCharType="separate"/>
      </w:r>
      <w:r>
        <w:rPr>
          <w:rFonts w:hint="eastAsia" w:ascii="宋体" w:hAnsi="宋体" w:eastAsia="宋体" w:cs="Times New Roman"/>
          <w:kern w:val="0"/>
          <w:szCs w:val="20"/>
          <w:lang w:val="en-US" w:eastAsia="zh-CN"/>
        </w:rPr>
        <w:t>5</w:t>
      </w:r>
      <w:r>
        <w:rPr>
          <w:rFonts w:ascii="宋体" w:hAnsi="宋体" w:eastAsia="宋体" w:cs="Times New Roman"/>
          <w:kern w:val="0"/>
          <w:szCs w:val="20"/>
          <w:lang w:val="en-US" w:eastAsia="zh-CN"/>
        </w:rPr>
        <w:t>.1</w:t>
      </w:r>
      <w:r>
        <w:rPr>
          <w:rFonts w:hint="eastAsia" w:ascii="宋体" w:hAnsi="宋体" w:eastAsia="宋体" w:cs="Times New Roman"/>
          <w:kern w:val="0"/>
          <w:szCs w:val="20"/>
          <w:lang w:val="en-US" w:eastAsia="zh-CN"/>
        </w:rPr>
        <w:t>承包商的选择</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_Toc502309244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11</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"_Toc502309245" </w:instrText>
      </w:r>
      <w:r>
        <w:fldChar w:fldCharType="separate"/>
      </w:r>
      <w:r>
        <w:rPr>
          <w:rFonts w:ascii="宋体" w:hAnsi="宋体" w:eastAsia="宋体" w:cs="Times New Roman"/>
          <w:kern w:val="0"/>
          <w:szCs w:val="20"/>
          <w:lang w:val="en-US" w:eastAsia="zh-CN"/>
        </w:rPr>
        <w:t>5.2</w:t>
      </w:r>
      <w:r>
        <w:rPr>
          <w:rFonts w:hint="eastAsia" w:ascii="宋体" w:hAnsi="宋体" w:eastAsia="宋体" w:cs="Times New Roman"/>
          <w:kern w:val="0"/>
          <w:szCs w:val="20"/>
          <w:lang w:val="en-US" w:eastAsia="zh-CN"/>
        </w:rPr>
        <w:t>承包商合同及安全协议管理</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_Toc502309245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11</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"_Toc502309246" </w:instrText>
      </w:r>
      <w:r>
        <w:fldChar w:fldCharType="separate"/>
      </w:r>
      <w:r>
        <w:rPr>
          <w:rFonts w:hint="eastAsia" w:ascii="宋体" w:hAnsi="宋体" w:eastAsia="宋体" w:cs="Times New Roman"/>
          <w:kern w:val="0"/>
          <w:szCs w:val="20"/>
          <w:lang w:val="en-US" w:eastAsia="zh-CN"/>
        </w:rPr>
        <w:t>5</w:t>
      </w:r>
      <w:r>
        <w:rPr>
          <w:rFonts w:ascii="宋体" w:hAnsi="宋体" w:eastAsia="宋体" w:cs="Times New Roman"/>
          <w:kern w:val="0"/>
          <w:szCs w:val="20"/>
          <w:lang w:val="en-US" w:eastAsia="zh-CN"/>
        </w:rPr>
        <w:t>.3</w:t>
      </w:r>
      <w:r>
        <w:rPr>
          <w:rFonts w:hint="eastAsia" w:ascii="宋体" w:hAnsi="宋体" w:eastAsia="宋体" w:cs="Times New Roman"/>
          <w:kern w:val="0"/>
          <w:szCs w:val="20"/>
          <w:lang w:val="en-US" w:eastAsia="zh-CN"/>
        </w:rPr>
        <w:t>承包商入厂管理</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_Toc502309246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15</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"_Toc502309247" </w:instrText>
      </w:r>
      <w:r>
        <w:fldChar w:fldCharType="separate"/>
      </w:r>
      <w:r>
        <w:rPr>
          <w:rFonts w:hint="eastAsia" w:ascii="宋体" w:hAnsi="宋体" w:eastAsia="宋体" w:cs="Times New Roman"/>
          <w:kern w:val="0"/>
          <w:szCs w:val="20"/>
          <w:lang w:val="en-US" w:eastAsia="zh-CN"/>
        </w:rPr>
        <w:t>5</w:t>
      </w:r>
      <w:r>
        <w:rPr>
          <w:rFonts w:ascii="宋体" w:hAnsi="宋体" w:eastAsia="宋体" w:cs="Times New Roman"/>
          <w:kern w:val="0"/>
          <w:szCs w:val="20"/>
          <w:lang w:val="en-US" w:eastAsia="zh-CN"/>
        </w:rPr>
        <w:t>.4</w:t>
      </w:r>
      <w:r>
        <w:rPr>
          <w:rFonts w:hint="eastAsia" w:ascii="宋体" w:hAnsi="宋体" w:eastAsia="宋体" w:cs="Times New Roman"/>
          <w:kern w:val="0"/>
          <w:szCs w:val="20"/>
          <w:lang w:val="en-US" w:eastAsia="zh-CN"/>
        </w:rPr>
        <w:t>承包商开工前管理</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_Toc502309247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16</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"_Toc502309248" </w:instrText>
      </w:r>
      <w:r>
        <w:fldChar w:fldCharType="separate"/>
      </w:r>
      <w:r>
        <w:rPr>
          <w:rFonts w:hint="eastAsia" w:ascii="宋体" w:hAnsi="宋体" w:eastAsia="宋体" w:cs="Times New Roman"/>
          <w:kern w:val="0"/>
          <w:szCs w:val="20"/>
          <w:lang w:val="en-US" w:eastAsia="zh-CN"/>
        </w:rPr>
        <w:t>5</w:t>
      </w:r>
      <w:r>
        <w:rPr>
          <w:rFonts w:ascii="宋体" w:hAnsi="宋体" w:eastAsia="宋体" w:cs="Times New Roman"/>
          <w:kern w:val="0"/>
          <w:szCs w:val="20"/>
          <w:lang w:val="en-US" w:eastAsia="zh-CN"/>
        </w:rPr>
        <w:t>.5</w:t>
      </w:r>
      <w:r>
        <w:rPr>
          <w:rFonts w:hint="eastAsia" w:ascii="宋体" w:hAnsi="宋体" w:eastAsia="宋体" w:cs="Times New Roman"/>
          <w:kern w:val="0"/>
          <w:szCs w:val="20"/>
          <w:lang w:val="en-US" w:eastAsia="zh-CN"/>
        </w:rPr>
        <w:t>承包商全程监督管理</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_Toc502309248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16</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"_Toc502309249" </w:instrText>
      </w:r>
      <w:r>
        <w:fldChar w:fldCharType="separate"/>
      </w:r>
      <w:r>
        <w:rPr>
          <w:rFonts w:hint="eastAsia" w:ascii="宋体" w:hAnsi="宋体" w:eastAsia="宋体" w:cs="Times New Roman"/>
          <w:kern w:val="0"/>
          <w:szCs w:val="20"/>
          <w:lang w:val="en-US" w:eastAsia="zh-CN"/>
        </w:rPr>
        <w:t>5</w:t>
      </w:r>
      <w:r>
        <w:rPr>
          <w:rFonts w:ascii="宋体" w:hAnsi="宋体" w:eastAsia="宋体" w:cs="Times New Roman"/>
          <w:kern w:val="0"/>
          <w:szCs w:val="20"/>
          <w:lang w:val="en-US" w:eastAsia="zh-CN"/>
        </w:rPr>
        <w:t>.6</w:t>
      </w:r>
      <w:r>
        <w:rPr>
          <w:rFonts w:hint="eastAsia" w:ascii="宋体" w:hAnsi="宋体" w:eastAsia="宋体" w:cs="Times New Roman"/>
          <w:kern w:val="0"/>
          <w:szCs w:val="20"/>
          <w:lang w:val="en-US" w:eastAsia="zh-CN"/>
        </w:rPr>
        <w:t>承包商考核与评价</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_Toc502309249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16</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fldChar w:fldCharType="begin"/>
      </w:r>
      <w:r>
        <w:instrText xml:space="preserve"> HYPERLINK \l "_Toc502309250" </w:instrText>
      </w:r>
      <w:r>
        <w:fldChar w:fldCharType="separate"/>
      </w:r>
      <w:r>
        <w:rPr>
          <w:rFonts w:hint="eastAsia" w:ascii="宋体" w:hAnsi="宋体" w:eastAsia="宋体" w:cs="Times New Roman"/>
          <w:kern w:val="0"/>
          <w:szCs w:val="20"/>
          <w:lang w:val="en-US" w:eastAsia="zh-CN"/>
        </w:rPr>
        <w:t>5</w:t>
      </w:r>
      <w:r>
        <w:rPr>
          <w:rFonts w:ascii="宋体" w:hAnsi="宋体" w:eastAsia="宋体" w:cs="Times New Roman"/>
          <w:kern w:val="0"/>
          <w:szCs w:val="20"/>
          <w:lang w:val="en-US" w:eastAsia="zh-CN"/>
        </w:rPr>
        <w:t>.7</w:t>
      </w:r>
      <w:r>
        <w:rPr>
          <w:rFonts w:hint="eastAsia" w:ascii="宋体" w:hAnsi="宋体" w:eastAsia="宋体" w:cs="Times New Roman"/>
          <w:kern w:val="0"/>
          <w:szCs w:val="20"/>
          <w:lang w:val="en-US" w:eastAsia="zh-CN"/>
        </w:rPr>
        <w:t>记录与保存</w:t>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_Toc502309250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16</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rPr>
          <w:rFonts w:hint="eastAsia" w:ascii="宋体" w:hAnsi="宋体" w:eastAsia="宋体" w:cs="Times New Roman"/>
          <w:kern w:val="0"/>
          <w:szCs w:val="20"/>
          <w:lang w:val="en-US" w:eastAsia="zh-CN"/>
        </w:rPr>
        <w:t>附录A 承包商风险评估表</w:t>
      </w:r>
      <w:r>
        <w:fldChar w:fldCharType="begin"/>
      </w:r>
      <w:r>
        <w:instrText xml:space="preserve"> HYPERLINK \l "_Toc502309251" </w:instrText>
      </w:r>
      <w:r>
        <w:fldChar w:fldCharType="separate"/>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_Toc502309251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16</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r>
        <w:rPr>
          <w:rFonts w:hint="eastAsia" w:ascii="宋体" w:hAnsi="宋体" w:eastAsia="宋体" w:cs="Times New Roman"/>
          <w:kern w:val="0"/>
          <w:szCs w:val="20"/>
          <w:lang w:val="en-US" w:eastAsia="zh-CN"/>
        </w:rPr>
        <w:t>附录B 承包商安全业绩评价表</w:t>
      </w:r>
      <w:r>
        <w:fldChar w:fldCharType="begin"/>
      </w:r>
      <w:r>
        <w:instrText xml:space="preserve"> HYPERLINK \l "_Toc502309252" </w:instrText>
      </w:r>
      <w:r>
        <w:fldChar w:fldCharType="separate"/>
      </w:r>
      <w:r>
        <w:rPr>
          <w:rFonts w:ascii="宋体" w:hAnsi="宋体" w:eastAsia="宋体" w:cs="Times New Roman"/>
          <w:kern w:val="0"/>
          <w:szCs w:val="20"/>
          <w:lang w:val="en-US" w:eastAsia="zh-CN"/>
        </w:rPr>
        <w:tab/>
      </w:r>
      <w:r>
        <w:rPr>
          <w:rFonts w:ascii="宋体" w:hAnsi="宋体" w:eastAsia="宋体" w:cs="Times New Roman"/>
          <w:kern w:val="0"/>
          <w:szCs w:val="20"/>
          <w:lang w:val="en-US" w:eastAsia="zh-CN"/>
        </w:rPr>
        <w:fldChar w:fldCharType="begin"/>
      </w:r>
      <w:r>
        <w:rPr>
          <w:rFonts w:ascii="宋体" w:hAnsi="宋体" w:eastAsia="宋体" w:cs="Times New Roman"/>
          <w:kern w:val="0"/>
          <w:szCs w:val="20"/>
          <w:lang w:val="en-US" w:eastAsia="zh-CN"/>
        </w:rPr>
        <w:instrText xml:space="preserve"> PAGEREF _Toc502309252 \h </w:instrText>
      </w:r>
      <w:r>
        <w:rPr>
          <w:rFonts w:ascii="宋体" w:hAnsi="宋体" w:eastAsia="宋体" w:cs="Times New Roman"/>
          <w:kern w:val="0"/>
          <w:szCs w:val="20"/>
          <w:lang w:val="en-US" w:eastAsia="zh-CN"/>
        </w:rPr>
        <w:fldChar w:fldCharType="separate"/>
      </w:r>
      <w:r>
        <w:rPr>
          <w:rFonts w:ascii="宋体" w:hAnsi="宋体" w:eastAsia="宋体" w:cs="Times New Roman"/>
          <w:kern w:val="0"/>
          <w:szCs w:val="20"/>
          <w:lang w:val="en-US" w:eastAsia="zh-CN"/>
        </w:rPr>
        <w:t>17</w:t>
      </w:r>
      <w:r>
        <w:rPr>
          <w:rFonts w:ascii="宋体" w:hAnsi="宋体" w:eastAsia="宋体" w:cs="Times New Roman"/>
          <w:kern w:val="0"/>
          <w:szCs w:val="20"/>
          <w:lang w:val="en-US" w:eastAsia="zh-CN"/>
        </w:rPr>
        <w:fldChar w:fldCharType="end"/>
      </w:r>
      <w:r>
        <w:rPr>
          <w:rFonts w:ascii="宋体" w:hAnsi="宋体" w:eastAsia="宋体" w:cs="Times New Roman"/>
          <w:kern w:val="0"/>
          <w:szCs w:val="20"/>
          <w:lang w:val="en-US" w:eastAsia="zh-CN"/>
        </w:rPr>
        <w:fldChar w:fldCharType="end"/>
      </w:r>
    </w:p>
    <w:p>
      <w:pPr>
        <w:widowControl/>
        <w:tabs>
          <w:tab w:val="right" w:leader="dot" w:pos="9345"/>
        </w:tabs>
        <w:rPr>
          <w:rFonts w:ascii="宋体" w:hAnsi="宋体" w:eastAsia="宋体" w:cs="Times New Roman"/>
          <w:lang w:val="en-US" w:eastAsia="zh-CN"/>
        </w:rPr>
      </w:pPr>
    </w:p>
    <w:p>
      <w:pPr>
        <w:widowControl/>
        <w:spacing w:line="357" w:lineRule="atLeast"/>
        <w:textAlignment w:val="baseline"/>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fldChar w:fldCharType="end"/>
      </w:r>
    </w:p>
    <w:p>
      <w:pPr>
        <w:widowControl/>
        <w:autoSpaceDE w:val="0"/>
        <w:autoSpaceDN w:val="0"/>
        <w:ind w:firstLine="420" w:firstLineChars="200"/>
        <w:rPr>
          <w:rFonts w:ascii="Times New Roman" w:hAnsi="Calibri" w:eastAsia="宋体" w:cs="Times New Roman"/>
          <w:kern w:val="0"/>
          <w:szCs w:val="20"/>
        </w:rPr>
      </w:pPr>
    </w:p>
    <w:p>
      <w:pPr>
        <w:widowControl/>
        <w:autoSpaceDE w:val="0"/>
        <w:autoSpaceDN w:val="0"/>
        <w:ind w:firstLine="420" w:firstLineChars="200"/>
        <w:rPr>
          <w:rFonts w:ascii="Times New Roman" w:hAnsi="Calibri" w:eastAsia="宋体" w:cs="Times New Roman"/>
          <w:kern w:val="0"/>
          <w:szCs w:val="20"/>
        </w:rPr>
      </w:pPr>
    </w:p>
    <w:p>
      <w:pPr>
        <w:widowControl/>
        <w:shd w:val="clear" w:color="auto" w:fill="FFFFFF"/>
        <w:spacing w:before="640" w:after="560" w:line="357" w:lineRule="atLeast"/>
        <w:jc w:val="center"/>
        <w:outlineLvl w:val="0"/>
        <w:rPr>
          <w:rFonts w:hint="eastAsia" w:ascii="黑体" w:hAnsi="Calibri" w:eastAsia="黑体" w:cs="Times New Roman"/>
          <w:kern w:val="0"/>
          <w:sz w:val="32"/>
          <w:szCs w:val="20"/>
        </w:rPr>
      </w:pPr>
    </w:p>
    <w:p>
      <w:pPr>
        <w:widowControl/>
        <w:numPr>
          <w:ilvl w:val="0"/>
          <w:numId w:val="1"/>
        </w:numPr>
        <w:shd w:val="clear" w:color="auto" w:fill="FFFFFF"/>
        <w:spacing w:before="640" w:after="560" w:line="357" w:lineRule="atLeast"/>
        <w:jc w:val="center"/>
        <w:outlineLvl w:val="0"/>
        <w:rPr>
          <w:rFonts w:hint="eastAsia" w:ascii="黑体" w:hAnsi="Calibri" w:eastAsia="黑体" w:cs="Times New Roman"/>
          <w:kern w:val="0"/>
          <w:sz w:val="32"/>
          <w:szCs w:val="20"/>
        </w:rPr>
      </w:pPr>
    </w:p>
    <w:p>
      <w:pPr>
        <w:widowControl/>
        <w:numPr>
          <w:ilvl w:val="0"/>
          <w:numId w:val="1"/>
        </w:numPr>
        <w:shd w:val="clear" w:color="auto" w:fill="FFFFFF"/>
        <w:spacing w:before="640" w:after="560" w:line="357" w:lineRule="atLeast"/>
        <w:jc w:val="center"/>
        <w:outlineLvl w:val="0"/>
        <w:rPr>
          <w:rFonts w:hint="eastAsia" w:ascii="黑体" w:hAnsi="Calibri" w:eastAsia="黑体" w:cs="Times New Roman"/>
          <w:kern w:val="0"/>
          <w:sz w:val="32"/>
          <w:szCs w:val="20"/>
        </w:rPr>
      </w:pPr>
    </w:p>
    <w:p>
      <w:pPr>
        <w:widowControl/>
        <w:numPr>
          <w:ilvl w:val="0"/>
          <w:numId w:val="1"/>
        </w:numPr>
        <w:shd w:val="clear" w:color="auto" w:fill="FFFFFF"/>
        <w:spacing w:before="640" w:after="560" w:line="357" w:lineRule="atLeast"/>
        <w:jc w:val="center"/>
        <w:outlineLvl w:val="0"/>
        <w:rPr>
          <w:rFonts w:hint="eastAsia" w:ascii="黑体" w:hAnsi="Calibri" w:eastAsia="黑体" w:cs="Times New Roman"/>
          <w:kern w:val="0"/>
          <w:sz w:val="32"/>
          <w:szCs w:val="20"/>
        </w:rPr>
      </w:pPr>
    </w:p>
    <w:p>
      <w:pPr>
        <w:widowControl/>
        <w:numPr>
          <w:ilvl w:val="0"/>
          <w:numId w:val="1"/>
        </w:numPr>
        <w:shd w:val="clear" w:color="auto" w:fill="FFFFFF"/>
        <w:spacing w:before="640" w:after="560" w:line="357" w:lineRule="atLeast"/>
        <w:jc w:val="center"/>
        <w:outlineLvl w:val="0"/>
        <w:rPr>
          <w:rFonts w:hint="eastAsia" w:ascii="黑体" w:hAnsi="Calibri" w:eastAsia="黑体" w:cs="Times New Roman"/>
          <w:kern w:val="0"/>
          <w:sz w:val="32"/>
          <w:szCs w:val="20"/>
        </w:rPr>
      </w:pPr>
    </w:p>
    <w:p>
      <w:pPr>
        <w:widowControl/>
        <w:numPr>
          <w:ilvl w:val="0"/>
          <w:numId w:val="1"/>
        </w:numPr>
        <w:shd w:val="clear" w:color="auto" w:fill="FFFFFF"/>
        <w:spacing w:before="640" w:after="560" w:line="357" w:lineRule="atLeast"/>
        <w:jc w:val="center"/>
        <w:outlineLvl w:val="0"/>
        <w:rPr>
          <w:rFonts w:ascii="黑体" w:hAnsi="Calibri" w:eastAsia="黑体" w:cs="Times New Roman"/>
          <w:kern w:val="0"/>
          <w:sz w:val="32"/>
          <w:szCs w:val="20"/>
        </w:rPr>
      </w:pPr>
      <w:r>
        <w:rPr>
          <w:rFonts w:hint="eastAsia" w:ascii="黑体" w:hAnsi="Calibri" w:eastAsia="黑体" w:cs="Times New Roman"/>
          <w:kern w:val="0"/>
          <w:sz w:val="32"/>
          <w:szCs w:val="20"/>
        </w:rPr>
        <w:t>前    言</w:t>
      </w:r>
    </w:p>
    <w:p>
      <w:pPr>
        <w:widowControl/>
        <w:ind w:firstLine="420" w:firstLineChars="200"/>
        <w:rPr>
          <w:rFonts w:ascii="Calibri" w:hAnsi="Calibri" w:eastAsia="宋体" w:cs="Times New Roman"/>
          <w:color w:val="000000"/>
          <w:kern w:val="0"/>
          <w:szCs w:val="21"/>
          <w:u w:color="000000"/>
        </w:rPr>
      </w:pPr>
      <w:r>
        <w:rPr>
          <w:rFonts w:hint="eastAsia" w:ascii="Calibri" w:hAnsi="Calibri" w:eastAsia="宋体" w:cs="Times New Roman"/>
          <w:color w:val="000000"/>
          <w:kern w:val="0"/>
          <w:szCs w:val="21"/>
          <w:u w:color="000000"/>
        </w:rPr>
        <w:t>本文件根据</w:t>
      </w:r>
      <w:r>
        <w:rPr>
          <w:rFonts w:hint="eastAsia" w:ascii="宋体" w:hAnsi="宋体" w:eastAsia="宋体" w:cs="宋体"/>
          <w:color w:val="000000"/>
          <w:kern w:val="0"/>
          <w:szCs w:val="20"/>
          <w:u w:color="000000"/>
        </w:rPr>
        <w:t>GB/T</w:t>
      </w:r>
      <w:r>
        <w:rPr>
          <w:rFonts w:hint="eastAsia" w:ascii="宋体" w:hAnsi="宋体" w:eastAsia="宋体" w:cs="宋体"/>
          <w:color w:val="000000"/>
          <w:kern w:val="0"/>
          <w:szCs w:val="20"/>
          <w:u w:color="000000"/>
          <w:lang w:val="en-US" w:eastAsia="zh-CN"/>
        </w:rPr>
        <w:t xml:space="preserve"> </w:t>
      </w:r>
      <w:r>
        <w:rPr>
          <w:rFonts w:hint="eastAsia" w:ascii="宋体" w:hAnsi="宋体" w:eastAsia="宋体" w:cs="宋体"/>
          <w:color w:val="000000"/>
          <w:kern w:val="0"/>
          <w:szCs w:val="20"/>
          <w:u w:color="000000"/>
        </w:rPr>
        <w:t>1.1-2020</w:t>
      </w:r>
      <w:r>
        <w:rPr>
          <w:rFonts w:hint="eastAsia" w:ascii="Calibri" w:hAnsi="Calibri" w:eastAsia="宋体" w:cs="Times New Roman"/>
          <w:color w:val="000000"/>
          <w:kern w:val="0"/>
          <w:szCs w:val="21"/>
          <w:u w:color="000000"/>
        </w:rPr>
        <w:t>给出的规则起草。</w:t>
      </w:r>
    </w:p>
    <w:p>
      <w:pPr>
        <w:widowControl/>
        <w:ind w:left="420" w:leftChars="200"/>
        <w:rPr>
          <w:rFonts w:ascii="Calibri" w:hAnsi="宋体" w:eastAsia="宋体" w:cs="Times New Roman"/>
          <w:color w:val="000000"/>
          <w:kern w:val="0"/>
          <w:szCs w:val="20"/>
          <w:u w:color="000000"/>
        </w:rPr>
      </w:pPr>
      <w:r>
        <w:rPr>
          <w:rFonts w:hint="eastAsia" w:ascii="Calibri" w:hAnsi="Calibri" w:eastAsia="宋体" w:cs="Times New Roman"/>
          <w:color w:val="000000"/>
          <w:kern w:val="0"/>
          <w:szCs w:val="21"/>
          <w:u w:color="000000"/>
        </w:rPr>
        <w:t>本文件由</w:t>
      </w:r>
      <w:r>
        <w:rPr>
          <w:rFonts w:hint="eastAsia" w:ascii="Calibri" w:hAnsi="宋体" w:eastAsia="宋体" w:cs="Times New Roman"/>
          <w:kern w:val="0"/>
          <w:szCs w:val="21"/>
          <w:u w:color="000000"/>
        </w:rPr>
        <w:t>中国化学品安全协会</w:t>
      </w:r>
      <w:r>
        <w:rPr>
          <w:rFonts w:hint="eastAsia" w:ascii="Calibri" w:hAnsi="Calibri" w:eastAsia="宋体" w:cs="Times New Roman"/>
          <w:color w:val="000000"/>
          <w:kern w:val="0"/>
          <w:szCs w:val="21"/>
          <w:u w:color="000000"/>
        </w:rPr>
        <w:t>提出。</w:t>
      </w:r>
    </w:p>
    <w:p>
      <w:pPr>
        <w:widowControl/>
        <w:autoSpaceDE w:val="0"/>
        <w:autoSpaceDN w:val="0"/>
        <w:ind w:firstLine="420" w:firstLineChars="200"/>
        <w:rPr>
          <w:rFonts w:ascii="宋体" w:hAnsi="宋体" w:eastAsia="宋体"/>
          <w:szCs w:val="21"/>
        </w:rPr>
      </w:pPr>
      <w:r>
        <w:rPr>
          <w:rFonts w:hint="eastAsia" w:ascii="宋体" w:hAnsi="宋体" w:eastAsia="宋体"/>
          <w:szCs w:val="21"/>
        </w:rPr>
        <w:t>本文件由中国化学品安全协会归口。</w:t>
      </w:r>
    </w:p>
    <w:p>
      <w:pPr>
        <w:widowControl/>
        <w:autoSpaceDE w:val="0"/>
        <w:autoSpaceDN w:val="0"/>
        <w:ind w:firstLine="420" w:firstLineChars="200"/>
        <w:rPr>
          <w:rFonts w:ascii="宋体" w:hAnsi="宋体" w:eastAsia="宋体"/>
          <w:szCs w:val="21"/>
        </w:rPr>
      </w:pPr>
      <w:r>
        <w:rPr>
          <w:rFonts w:hint="eastAsia" w:ascii="宋体" w:hAnsi="宋体" w:eastAsia="宋体"/>
          <w:szCs w:val="21"/>
        </w:rPr>
        <w:t>本文件起草单位：中国化学品安全协会…</w:t>
      </w:r>
    </w:p>
    <w:p>
      <w:pPr>
        <w:widowControl/>
        <w:autoSpaceDE w:val="0"/>
        <w:autoSpaceDN w:val="0"/>
        <w:ind w:firstLine="420" w:firstLineChars="200"/>
        <w:rPr>
          <w:rFonts w:ascii="宋体" w:hAnsi="宋体" w:eastAsia="宋体"/>
          <w:szCs w:val="21"/>
        </w:rPr>
      </w:pPr>
      <w:r>
        <w:rPr>
          <w:rFonts w:hint="eastAsia" w:ascii="宋体" w:hAnsi="宋体" w:eastAsia="宋体"/>
          <w:szCs w:val="21"/>
        </w:rPr>
        <w:t>本文件主要起草人： 王 震、太文哲 、乔法杰、 夏博研…</w:t>
      </w:r>
    </w:p>
    <w:p>
      <w:pPr>
        <w:widowControl/>
        <w:jc w:val="left"/>
        <w:rPr>
          <w:rFonts w:ascii="宋体" w:hAnsi="Calibri" w:eastAsia="宋体" w:cs="Times New Roman"/>
          <w:kern w:val="0"/>
          <w:szCs w:val="20"/>
        </w:rPr>
        <w:sectPr>
          <w:headerReference r:id="rId11" w:type="first"/>
          <w:footerReference r:id="rId14" w:type="first"/>
          <w:headerReference r:id="rId9" w:type="default"/>
          <w:footerReference r:id="rId12" w:type="default"/>
          <w:headerReference r:id="rId10" w:type="even"/>
          <w:footerReference r:id="rId13" w:type="even"/>
          <w:pgSz w:w="11907" w:h="16839"/>
          <w:pgMar w:top="1418" w:right="1134" w:bottom="1134" w:left="1418" w:header="1418" w:footer="851" w:gutter="0"/>
          <w:pgNumType w:fmt="upperRoman" w:start="1"/>
          <w:cols w:space="720" w:num="1"/>
          <w:titlePg/>
          <w:docGrid w:type="lines" w:linePitch="312" w:charSpace="0"/>
        </w:sectPr>
      </w:pPr>
    </w:p>
    <w:p>
      <w:pPr>
        <w:widowControl/>
        <w:numPr>
          <w:ilvl w:val="0"/>
          <w:numId w:val="1"/>
        </w:numPr>
        <w:shd w:val="clear" w:color="auto" w:fill="FFFFFF"/>
        <w:spacing w:before="640" w:after="560" w:line="357" w:lineRule="atLeast"/>
        <w:jc w:val="center"/>
        <w:outlineLvl w:val="0"/>
        <w:rPr>
          <w:rFonts w:ascii="黑体" w:hAnsi="Calibri" w:eastAsia="黑体" w:cs="Times New Roman"/>
          <w:kern w:val="0"/>
          <w:sz w:val="32"/>
          <w:szCs w:val="20"/>
        </w:rPr>
      </w:pPr>
      <w:r>
        <w:rPr>
          <w:rFonts w:hint="eastAsia" w:ascii="黑体" w:hAnsi="Calibri" w:eastAsia="黑体" w:cs="Times New Roman"/>
          <w:kern w:val="0"/>
          <w:sz w:val="32"/>
          <w:szCs w:val="20"/>
        </w:rPr>
        <w:t>引    言</w:t>
      </w:r>
    </w:p>
    <w:p>
      <w:pPr>
        <w:widowControl/>
        <w:autoSpaceDE w:val="0"/>
        <w:autoSpaceDN w:val="0"/>
        <w:ind w:firstLine="420" w:firstLineChars="200"/>
        <w:rPr>
          <w:rFonts w:ascii="宋体" w:hAnsi="宋体" w:eastAsia="宋体"/>
        </w:rPr>
      </w:pPr>
      <w:r>
        <w:rPr>
          <w:rFonts w:hint="eastAsia" w:ascii="宋体" w:hAnsi="宋体" w:eastAsia="宋体"/>
        </w:rPr>
        <w:t>承包商管理是化工企业（以下简称企业）生产经营活动的重要组成部分，在企业生产过程中，承包商起着重要的作用，从机、电、仪、设备的安装和检维修、土建施工、防腐保温，到危险化学品运输、劳务外包等，大多委托承包商完成。选择合格的承包商,明确承包商安全管理的职责和权限，有效控制和最大限度地减小承包商作业活动风险，尽可能的避免和减少安全事故的发生，确保施工、生产、质量的安全成为企业安全生产的重要工作。因此，搞好企业的安全生产，对承包商的管理不容忽视。</w:t>
      </w:r>
    </w:p>
    <w:p>
      <w:pPr>
        <w:widowControl/>
        <w:autoSpaceDE w:val="0"/>
        <w:autoSpaceDN w:val="0"/>
        <w:ind w:firstLine="420" w:firstLineChars="200"/>
        <w:rPr>
          <w:rFonts w:ascii="宋体" w:hAnsi="宋体" w:eastAsia="宋体"/>
        </w:rPr>
      </w:pPr>
      <w:r>
        <w:rPr>
          <w:rFonts w:hint="eastAsia" w:ascii="宋体" w:hAnsi="宋体" w:eastAsia="宋体"/>
        </w:rPr>
        <w:t>本文件在现行国家有关法律法规、标准规范和相关要求的基础上，借鉴了国内、外优秀化工企业承包商的管理经验。</w:t>
      </w:r>
    </w:p>
    <w:p>
      <w:pPr>
        <w:widowControl/>
        <w:autoSpaceDE w:val="0"/>
        <w:autoSpaceDN w:val="0"/>
        <w:ind w:firstLine="420" w:firstLineChars="200"/>
        <w:rPr>
          <w:rFonts w:ascii="宋体" w:hAnsi="宋体" w:eastAsia="宋体"/>
        </w:rPr>
      </w:pPr>
    </w:p>
    <w:p>
      <w:pPr>
        <w:widowControl/>
        <w:autoSpaceDE w:val="0"/>
        <w:autoSpaceDN w:val="0"/>
        <w:ind w:firstLine="420" w:firstLineChars="200"/>
        <w:rPr>
          <w:rFonts w:ascii="宋体" w:hAnsi="宋体" w:eastAsia="宋体"/>
        </w:rPr>
      </w:pPr>
    </w:p>
    <w:p>
      <w:pPr>
        <w:widowControl/>
        <w:autoSpaceDE w:val="0"/>
        <w:autoSpaceDN w:val="0"/>
        <w:ind w:firstLine="420" w:firstLineChars="200"/>
        <w:rPr>
          <w:rFonts w:ascii="宋体" w:hAnsi="宋体" w:eastAsia="宋体"/>
        </w:rPr>
      </w:pPr>
    </w:p>
    <w:p>
      <w:pPr>
        <w:widowControl/>
        <w:jc w:val="left"/>
        <w:rPr>
          <w:rFonts w:ascii="宋体" w:hAnsi="Calibri" w:eastAsia="宋体" w:cs="Times New Roman"/>
          <w:kern w:val="0"/>
          <w:szCs w:val="20"/>
        </w:rPr>
        <w:sectPr>
          <w:pgSz w:w="11907" w:h="16839"/>
          <w:pgMar w:top="1418" w:right="1134" w:bottom="1134" w:left="1418" w:header="1418" w:footer="851" w:gutter="0"/>
          <w:pgNumType w:fmt="upperRoman"/>
          <w:cols w:space="720" w:num="1"/>
          <w:docGrid w:type="lines" w:linePitch="312" w:charSpace="0"/>
        </w:sectPr>
      </w:pPr>
    </w:p>
    <w:p>
      <w:pPr>
        <w:widowControl/>
        <w:shd w:val="clear" w:color="auto" w:fill="FFFFFF"/>
        <w:spacing w:before="640" w:after="560" w:line="460" w:lineRule="exact"/>
        <w:jc w:val="center"/>
        <w:outlineLvl w:val="0"/>
        <w:rPr>
          <w:rFonts w:ascii="黑体" w:hAnsi="Calibri" w:eastAsia="黑体" w:cs="Times New Roman"/>
          <w:kern w:val="0"/>
          <w:sz w:val="32"/>
          <w:szCs w:val="20"/>
        </w:rPr>
      </w:pPr>
      <w:bookmarkStart w:id="6" w:name="SectionMark4"/>
      <w:r>
        <w:rPr>
          <w:rFonts w:hint="eastAsia" w:ascii="黑体" w:hAnsi="Calibri" w:eastAsia="黑体" w:cs="Times New Roman"/>
          <w:kern w:val="0"/>
          <w:sz w:val="32"/>
          <w:szCs w:val="20"/>
        </w:rPr>
        <w:t>化工企业承包商管理指南</w:t>
      </w:r>
    </w:p>
    <w:p>
      <w:pPr>
        <w:keepNext/>
        <w:keepLines/>
        <w:widowControl/>
        <w:spacing w:before="312" w:beforeLines="100" w:after="312" w:afterLines="100"/>
        <w:outlineLvl w:val="0"/>
        <w:rPr>
          <w:rFonts w:ascii="黑体" w:hAnsi="黑体" w:eastAsia="黑体" w:cs="宋体"/>
          <w:bCs/>
          <w:color w:val="000000"/>
          <w:kern w:val="44"/>
          <w:szCs w:val="21"/>
          <w:u w:color="000000"/>
        </w:rPr>
      </w:pPr>
      <w:r>
        <w:rPr>
          <w:rFonts w:hint="eastAsia" w:ascii="黑体" w:hAnsi="黑体" w:eastAsia="黑体" w:cs="宋体"/>
          <w:bCs/>
          <w:color w:val="000000"/>
          <w:kern w:val="44"/>
          <w:szCs w:val="21"/>
          <w:u w:color="000000"/>
        </w:rPr>
        <w:t>1  范围</w:t>
      </w:r>
    </w:p>
    <w:p>
      <w:pPr>
        <w:widowControl/>
        <w:autoSpaceDE w:val="0"/>
        <w:autoSpaceDN w:val="0"/>
        <w:ind w:firstLine="420" w:firstLineChars="200"/>
        <w:rPr>
          <w:rFonts w:ascii="宋体" w:hAnsi="宋体" w:eastAsia="宋体"/>
        </w:rPr>
      </w:pPr>
      <w:r>
        <w:rPr>
          <w:rFonts w:hint="eastAsia" w:ascii="宋体" w:hAnsi="宋体" w:eastAsia="宋体"/>
        </w:rPr>
        <w:t>本文件适用于化工企业（以下简称企业）生产、经营全过程的承包商管理，包括机、电、仪、设备的安装和检维修、土建施工、防腐保温以及危险化学品运输、劳务外包等。</w:t>
      </w:r>
    </w:p>
    <w:p>
      <w:pPr>
        <w:keepNext/>
        <w:keepLines/>
        <w:widowControl/>
        <w:spacing w:before="312" w:beforeLines="100" w:after="312" w:afterLines="100"/>
        <w:outlineLvl w:val="0"/>
        <w:rPr>
          <w:rFonts w:ascii="黑体" w:hAnsi="黑体" w:eastAsia="黑体" w:cs="宋体"/>
          <w:bCs/>
          <w:color w:val="000000"/>
          <w:kern w:val="44"/>
          <w:szCs w:val="21"/>
          <w:u w:color="000000"/>
        </w:rPr>
      </w:pPr>
      <w:r>
        <w:rPr>
          <w:rFonts w:hint="eastAsia" w:ascii="黑体" w:hAnsi="黑体" w:eastAsia="黑体" w:cs="宋体"/>
          <w:bCs/>
          <w:color w:val="000000"/>
          <w:kern w:val="44"/>
          <w:szCs w:val="21"/>
          <w:u w:color="000000"/>
        </w:rPr>
        <w:t>2  规范性引用文件</w:t>
      </w:r>
    </w:p>
    <w:p>
      <w:pPr>
        <w:widowControl/>
        <w:autoSpaceDE w:val="0"/>
        <w:autoSpaceDN w:val="0"/>
        <w:ind w:firstLine="420" w:firstLineChars="200"/>
        <w:rPr>
          <w:rFonts w:ascii="宋体" w:hAnsi="宋体" w:eastAsia="宋体"/>
        </w:rPr>
      </w:pPr>
      <w:r>
        <w:rPr>
          <w:rFonts w:hint="eastAsia" w:ascii="宋体" w:hAnsi="宋体" w:eastAsia="宋体"/>
        </w:rPr>
        <w:t>下列文件对于本文件的应用是必不可少的。凡是注日期的引用文件，仅注日期的版本适用于本文件。凡是不注日期的引用文件，其最新版本（包括所有的修改单）适用于本文件。</w:t>
      </w:r>
    </w:p>
    <w:p>
      <w:pPr>
        <w:widowControl/>
        <w:autoSpaceDE w:val="0"/>
        <w:autoSpaceDN w:val="0"/>
        <w:ind w:firstLine="420" w:firstLineChars="200"/>
        <w:rPr>
          <w:rFonts w:ascii="宋体" w:hAnsi="宋体" w:eastAsia="宋体"/>
        </w:rPr>
      </w:pPr>
      <w:r>
        <w:rPr>
          <w:rFonts w:hint="eastAsia" w:ascii="宋体" w:hAnsi="宋体" w:eastAsia="宋体"/>
        </w:rPr>
        <w:t xml:space="preserve">GB/T 45001 </w:t>
      </w:r>
      <w:r>
        <w:rPr>
          <w:rFonts w:hint="eastAsia" w:ascii="宋体" w:hAnsi="宋体" w:eastAsia="宋体"/>
          <w:lang w:val="en-US" w:eastAsia="zh-CN"/>
        </w:rPr>
        <w:t xml:space="preserve"> </w:t>
      </w:r>
      <w:r>
        <w:rPr>
          <w:rFonts w:hint="eastAsia" w:ascii="宋体" w:hAnsi="宋体" w:eastAsia="宋体"/>
        </w:rPr>
        <w:t>职业健康安全管理体系要求及使用指南</w:t>
      </w:r>
    </w:p>
    <w:p>
      <w:pPr>
        <w:widowControl/>
        <w:autoSpaceDE w:val="0"/>
        <w:autoSpaceDN w:val="0"/>
        <w:ind w:firstLine="420" w:firstLineChars="200"/>
        <w:rPr>
          <w:rFonts w:ascii="宋体" w:hAnsi="宋体" w:eastAsia="宋体"/>
        </w:rPr>
      </w:pPr>
      <w:r>
        <w:rPr>
          <w:rFonts w:hint="eastAsia" w:ascii="宋体" w:hAnsi="宋体" w:eastAsia="宋体"/>
        </w:rPr>
        <w:t>AQ</w:t>
      </w:r>
      <w:r>
        <w:rPr>
          <w:rFonts w:hint="eastAsia" w:ascii="宋体" w:hAnsi="宋体" w:eastAsia="宋体"/>
          <w:lang w:val="en-US" w:eastAsia="zh-CN"/>
        </w:rPr>
        <w:t xml:space="preserve"> </w:t>
      </w:r>
      <w:r>
        <w:rPr>
          <w:rFonts w:hint="eastAsia" w:ascii="宋体" w:hAnsi="宋体" w:eastAsia="宋体"/>
        </w:rPr>
        <w:t>3013  危险化学品从业单位安全标准化通用规范</w:t>
      </w:r>
    </w:p>
    <w:p>
      <w:pPr>
        <w:widowControl/>
        <w:autoSpaceDE w:val="0"/>
        <w:autoSpaceDN w:val="0"/>
        <w:ind w:firstLine="420" w:firstLineChars="200"/>
        <w:rPr>
          <w:rFonts w:ascii="宋体" w:hAnsi="宋体" w:eastAsia="宋体"/>
        </w:rPr>
      </w:pPr>
      <w:r>
        <w:rPr>
          <w:rFonts w:hint="eastAsia" w:ascii="宋体" w:hAnsi="宋体" w:eastAsia="宋体"/>
        </w:rPr>
        <w:t>AQ/T 3012  石油化工企业安全管理体系实施导则</w:t>
      </w:r>
    </w:p>
    <w:p>
      <w:pPr>
        <w:widowControl/>
        <w:autoSpaceDE w:val="0"/>
        <w:autoSpaceDN w:val="0"/>
        <w:ind w:firstLine="420" w:firstLineChars="200"/>
        <w:rPr>
          <w:rFonts w:ascii="宋体" w:hAnsi="宋体" w:eastAsia="宋体"/>
        </w:rPr>
      </w:pPr>
      <w:r>
        <w:rPr>
          <w:rFonts w:hint="eastAsia" w:ascii="宋体" w:hAnsi="宋体" w:eastAsia="宋体"/>
        </w:rPr>
        <w:t>AQ/T 3034  化工企业工艺安全管理实施导则</w:t>
      </w:r>
    </w:p>
    <w:p>
      <w:pPr>
        <w:keepNext/>
        <w:keepLines/>
        <w:widowControl/>
        <w:spacing w:before="312" w:beforeLines="100" w:after="312" w:afterLines="100"/>
        <w:outlineLvl w:val="0"/>
        <w:rPr>
          <w:rFonts w:ascii="黑体" w:hAnsi="黑体" w:eastAsia="黑体" w:cs="宋体"/>
          <w:bCs/>
          <w:color w:val="000000"/>
          <w:kern w:val="44"/>
          <w:szCs w:val="21"/>
          <w:u w:color="000000"/>
        </w:rPr>
      </w:pPr>
      <w:r>
        <w:rPr>
          <w:rFonts w:hint="eastAsia" w:ascii="黑体" w:hAnsi="黑体" w:eastAsia="黑体" w:cs="宋体"/>
          <w:bCs/>
          <w:color w:val="000000"/>
          <w:kern w:val="44"/>
          <w:szCs w:val="21"/>
          <w:u w:color="000000"/>
        </w:rPr>
        <w:t>3  术语和定义</w:t>
      </w:r>
    </w:p>
    <w:p>
      <w:pPr>
        <w:widowControl/>
        <w:ind w:left="420" w:leftChars="200"/>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下列术语适用于本文件。</w:t>
      </w:r>
    </w:p>
    <w:p>
      <w:pPr>
        <w:widowControl/>
        <w:rPr>
          <w:rFonts w:ascii="黑体" w:hAnsi="Calibri" w:eastAsia="黑体" w:cs="Times New Roman"/>
          <w:color w:val="000000"/>
          <w:kern w:val="0"/>
          <w:szCs w:val="20"/>
          <w:u w:color="000000"/>
        </w:rPr>
      </w:pPr>
      <w:r>
        <w:rPr>
          <w:rFonts w:hint="eastAsia" w:ascii="黑体" w:hAnsi="Calibri" w:eastAsia="黑体" w:cs="Times New Roman"/>
          <w:color w:val="000000"/>
          <w:kern w:val="0"/>
          <w:szCs w:val="20"/>
          <w:u w:color="000000"/>
        </w:rPr>
        <w:t>3.1</w:t>
      </w:r>
    </w:p>
    <w:p>
      <w:pPr>
        <w:widowControl/>
        <w:ind w:firstLine="420" w:firstLineChars="200"/>
        <w:rPr>
          <w:rFonts w:ascii="Calibri" w:hAnsi="Calibri" w:eastAsia="宋体" w:cs="Times New Roman"/>
          <w:color w:val="FF0000"/>
          <w:kern w:val="0"/>
          <w:szCs w:val="20"/>
          <w:u w:color="000000"/>
        </w:rPr>
      </w:pPr>
      <w:r>
        <w:rPr>
          <w:rFonts w:hint="eastAsia" w:ascii="黑体" w:hAnsi="Calibri" w:eastAsia="黑体" w:cs="Times New Roman"/>
          <w:color w:val="000000"/>
          <w:kern w:val="0"/>
          <w:szCs w:val="20"/>
          <w:u w:color="000000"/>
        </w:rPr>
        <w:t>承包商   contractor</w:t>
      </w:r>
    </w:p>
    <w:bookmarkEnd w:id="6"/>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rPr>
        <w:t>在企业的作业现场，按照双方协定的要求、期限及条件向企业提供服务的个人或团体。</w:t>
      </w:r>
    </w:p>
    <w:p>
      <w:pPr>
        <w:widowControl/>
        <w:autoSpaceDE w:val="0"/>
        <w:autoSpaceDN w:val="0"/>
        <w:spacing w:before="156" w:beforeLines="50" w:after="156" w:afterLines="50"/>
        <w:rPr>
          <w:rFonts w:ascii="黑体" w:hAnsi="宋体" w:eastAsia="黑体"/>
        </w:rPr>
      </w:pPr>
      <w:r>
        <w:rPr>
          <w:rFonts w:hint="eastAsia" w:ascii="黑体" w:hAnsi="宋体" w:eastAsia="黑体"/>
        </w:rPr>
        <w:t>3.2</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工作场所</w:t>
      </w:r>
      <w:r>
        <w:rPr>
          <w:rFonts w:ascii="黑体" w:hAnsi="宋体" w:eastAsia="黑体"/>
        </w:rPr>
        <w:t> </w:t>
      </w:r>
      <w:r>
        <w:rPr>
          <w:rFonts w:hint="eastAsia" w:ascii="黑体" w:hAnsi="宋体" w:eastAsia="黑体"/>
        </w:rPr>
        <w:t>workplace</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bCs/>
        </w:rPr>
        <w:t>企业</w:t>
      </w:r>
      <w:r>
        <w:rPr>
          <w:rFonts w:hint="eastAsia" w:ascii="宋体" w:hAnsi="宋体" w:eastAsia="宋体"/>
        </w:rPr>
        <w:t>从业人员（包含承包商从业人员）进行作业活动，并由企业直接或间接控制的所有工作点。</w:t>
      </w:r>
    </w:p>
    <w:p>
      <w:pPr>
        <w:widowControl/>
        <w:autoSpaceDE w:val="0"/>
        <w:autoSpaceDN w:val="0"/>
        <w:spacing w:before="156" w:beforeLines="50" w:after="156" w:afterLines="50"/>
        <w:rPr>
          <w:rFonts w:ascii="黑体" w:hAnsi="宋体" w:eastAsia="黑体"/>
        </w:rPr>
      </w:pPr>
      <w:r>
        <w:rPr>
          <w:rFonts w:hint="eastAsia" w:ascii="黑体" w:hAnsi="宋体" w:eastAsia="黑体"/>
        </w:rPr>
        <w:t>3.3</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作业环境</w:t>
      </w:r>
      <w:r>
        <w:rPr>
          <w:rFonts w:ascii="黑体" w:hAnsi="宋体" w:eastAsia="黑体"/>
        </w:rPr>
        <w:t> </w:t>
      </w:r>
      <w:r>
        <w:rPr>
          <w:rFonts w:hint="eastAsia" w:ascii="黑体" w:hAnsi="宋体" w:eastAsia="黑体"/>
        </w:rPr>
        <w:t>working</w:t>
      </w:r>
      <w:r>
        <w:rPr>
          <w:rFonts w:ascii="黑体" w:hAnsi="宋体" w:eastAsia="黑体"/>
        </w:rPr>
        <w:t> </w:t>
      </w:r>
      <w:r>
        <w:rPr>
          <w:rFonts w:hint="eastAsia" w:ascii="黑体" w:hAnsi="宋体" w:eastAsia="黑体"/>
        </w:rPr>
        <w:t>environment</w:t>
      </w:r>
      <w:r>
        <w:rPr>
          <w:rFonts w:ascii="黑体" w:hAnsi="宋体" w:eastAsia="黑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rPr>
        <w:t>从业人员进行生产经营活动的场所以及相关联的场所，对从业人员的安全、健康和工作能力，以及对设备（设施）的安全运行产生影响的所有自然和人为因素。</w:t>
      </w:r>
      <w:r>
        <w:rPr>
          <w:rFonts w:ascii="宋体" w:hAnsi="宋体" w:eastAsia="宋体"/>
        </w:rPr>
        <w:t> </w:t>
      </w:r>
    </w:p>
    <w:p>
      <w:pPr>
        <w:widowControl/>
        <w:autoSpaceDE w:val="0"/>
        <w:autoSpaceDN w:val="0"/>
        <w:spacing w:before="156" w:beforeLines="50" w:after="156" w:afterLines="50"/>
        <w:rPr>
          <w:rFonts w:ascii="黑体" w:hAnsi="宋体" w:eastAsia="黑体"/>
        </w:rPr>
      </w:pPr>
      <w:r>
        <w:rPr>
          <w:rFonts w:hint="eastAsia" w:ascii="黑体" w:hAnsi="宋体" w:eastAsia="黑体"/>
        </w:rPr>
        <w:t>3.4</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变更管理</w:t>
      </w:r>
      <w:r>
        <w:rPr>
          <w:rFonts w:ascii="黑体" w:hAnsi="宋体" w:eastAsia="黑体"/>
        </w:rPr>
        <w:t> </w:t>
      </w:r>
      <w:r>
        <w:rPr>
          <w:rFonts w:hint="eastAsia" w:ascii="黑体" w:hAnsi="宋体" w:eastAsia="黑体"/>
        </w:rPr>
        <w:t>management</w:t>
      </w:r>
      <w:r>
        <w:rPr>
          <w:rFonts w:ascii="黑体" w:hAnsi="宋体" w:eastAsia="黑体"/>
        </w:rPr>
        <w:t> </w:t>
      </w:r>
      <w:r>
        <w:rPr>
          <w:rFonts w:hint="eastAsia" w:ascii="黑体" w:hAnsi="宋体" w:eastAsia="黑体"/>
        </w:rPr>
        <w:t>of</w:t>
      </w:r>
      <w:r>
        <w:rPr>
          <w:rFonts w:ascii="黑体" w:hAnsi="宋体" w:eastAsia="黑体"/>
        </w:rPr>
        <w:t> </w:t>
      </w:r>
      <w:r>
        <w:rPr>
          <w:rFonts w:hint="eastAsia" w:ascii="黑体" w:hAnsi="宋体" w:eastAsia="黑体"/>
        </w:rPr>
        <w:t>change</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rPr>
        <w:t>对机构、人员、管理、工艺、技术、设备设施、作业环境等永久性或暂时性的变化进行有计划的控制，以避免或减轻对安全生产的影响。</w:t>
      </w:r>
      <w:r>
        <w:rPr>
          <w:rFonts w:ascii="宋体" w:hAnsi="宋体" w:eastAsia="宋体"/>
        </w:rPr>
        <w:t> </w:t>
      </w:r>
    </w:p>
    <w:p>
      <w:pPr>
        <w:widowControl/>
        <w:autoSpaceDE w:val="0"/>
        <w:autoSpaceDN w:val="0"/>
        <w:spacing w:before="156" w:beforeLines="50" w:after="156" w:afterLines="50"/>
        <w:rPr>
          <w:rFonts w:ascii="黑体" w:hAnsi="宋体" w:eastAsia="黑体"/>
        </w:rPr>
      </w:pPr>
      <w:r>
        <w:rPr>
          <w:rFonts w:hint="eastAsia" w:ascii="黑体" w:hAnsi="宋体" w:eastAsia="黑体"/>
        </w:rPr>
        <w:t>3.5</w:t>
      </w:r>
    </w:p>
    <w:p>
      <w:pPr>
        <w:widowControl/>
        <w:autoSpaceDE w:val="0"/>
        <w:autoSpaceDN w:val="0"/>
        <w:spacing w:before="156" w:beforeLines="50" w:after="156" w:afterLines="50"/>
        <w:rPr>
          <w:rFonts w:ascii="黑体" w:hAnsi="宋体" w:eastAsia="黑体"/>
        </w:rPr>
      </w:pPr>
      <w:r>
        <w:rPr>
          <w:rFonts w:hint="eastAsia" w:ascii="黑体" w:hAnsi="宋体" w:eastAsia="黑体"/>
        </w:rPr>
        <w:t xml:space="preserve">   安全绩效  safe  performance</w:t>
      </w:r>
    </w:p>
    <w:p>
      <w:pPr>
        <w:widowControl/>
        <w:autoSpaceDE w:val="0"/>
        <w:autoSpaceDN w:val="0"/>
        <w:spacing w:before="156" w:beforeLines="50" w:after="156" w:afterLines="50"/>
        <w:rPr>
          <w:rFonts w:ascii="宋体" w:hAnsi="宋体" w:eastAsia="宋体"/>
        </w:rPr>
      </w:pPr>
      <w:r>
        <w:rPr>
          <w:rFonts w:hint="eastAsia" w:ascii="黑体" w:hAnsi="宋体" w:eastAsia="黑体"/>
        </w:rPr>
        <w:t xml:space="preserve">   </w:t>
      </w:r>
      <w:r>
        <w:rPr>
          <w:rFonts w:hint="eastAsia" w:ascii="宋体" w:hAnsi="宋体" w:eastAsia="宋体"/>
        </w:rPr>
        <w:t>基于安全生产方针和目标，控制和消除风险取得的可测量结果。</w:t>
      </w:r>
    </w:p>
    <w:p>
      <w:pPr>
        <w:widowControl/>
        <w:autoSpaceDE w:val="0"/>
        <w:autoSpaceDN w:val="0"/>
        <w:spacing w:before="313" w:beforeLines="100" w:after="313" w:afterLines="100"/>
        <w:ind w:firstLine="420" w:firstLineChars="200"/>
        <w:rPr>
          <w:rFonts w:ascii="黑体" w:hAnsi="宋体" w:eastAsia="黑体"/>
        </w:rPr>
      </w:pPr>
      <w:r>
        <w:rPr>
          <w:rFonts w:hint="eastAsia" w:ascii="黑体" w:hAnsi="宋体" w:eastAsia="黑体"/>
        </w:rPr>
        <w:t>4  基本要求</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4.1 </w:t>
      </w:r>
      <w:r>
        <w:rPr>
          <w:rFonts w:hint="eastAsia" w:ascii="宋体" w:hAnsi="宋体" w:eastAsia="宋体"/>
        </w:rPr>
        <w:t>企业应建立承包商管理制度，制度必须明确承包商资格预审、选择、签订合同及安全协议、安全培训、作业过程监督、表现评价、续用等要求及相关部门的职责。</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4.2 </w:t>
      </w:r>
      <w:r>
        <w:rPr>
          <w:rFonts w:hint="eastAsia" w:ascii="宋体" w:hAnsi="宋体" w:eastAsia="宋体"/>
        </w:rPr>
        <w:t>优先选择具有良好安全业绩和表现的承包商。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4.3 </w:t>
      </w:r>
      <w:r>
        <w:rPr>
          <w:rFonts w:hint="eastAsia" w:ascii="宋体" w:hAnsi="宋体" w:eastAsia="宋体"/>
        </w:rPr>
        <w:t>企业为实现有效的承包商安全管理，对承包商采用与企业内部管理相同的安全标准。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4.4 </w:t>
      </w:r>
      <w:r>
        <w:rPr>
          <w:rFonts w:hint="eastAsia" w:ascii="宋体" w:hAnsi="宋体" w:eastAsia="宋体"/>
        </w:rPr>
        <w:t>承包商安全是企业良好业务的一部分，应与企业安全政策相一致。</w:t>
      </w:r>
    </w:p>
    <w:p>
      <w:pPr>
        <w:widowControl/>
        <w:autoSpaceDE w:val="0"/>
        <w:autoSpaceDN w:val="0"/>
        <w:spacing w:before="313" w:beforeLines="100" w:after="313" w:afterLines="100"/>
        <w:ind w:firstLine="420" w:firstLineChars="200"/>
        <w:rPr>
          <w:rFonts w:ascii="黑体" w:hAnsi="宋体" w:eastAsia="黑体"/>
        </w:rPr>
      </w:pPr>
      <w:r>
        <w:rPr>
          <w:rFonts w:hint="eastAsia" w:ascii="黑体" w:hAnsi="宋体" w:eastAsia="黑体"/>
        </w:rPr>
        <w:t>5  核心要求</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5.1 承包商选择 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5.1.1 </w:t>
      </w:r>
      <w:r>
        <w:rPr>
          <w:rFonts w:hint="eastAsia" w:ascii="宋体" w:hAnsi="宋体" w:eastAsia="宋体"/>
        </w:rPr>
        <w:t>企业明确对外委托项目所需条件，应按照“谁引进、谁负责”的原则，对承包商及时开展评估。项目实施责任部门组织分析、评估发包项目风险和要求,按照《企业承包商风险评估表》（附录A）对推荐的承包商进行风险评估，并将评估结果报送项目实施责任部门负责人。</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5.1.2</w:t>
      </w:r>
      <w:r>
        <w:rPr>
          <w:rFonts w:hint="eastAsia" w:ascii="宋体" w:hAnsi="宋体" w:eastAsia="宋体"/>
        </w:rPr>
        <w:t xml:space="preserve"> 企业项目实施责任部门负责人在获得承包商相关信息后，组织安全等相关职能部门组成“承包商资格预审组”，召开专门会议进行承包商的资格预审。</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5.1.3 </w:t>
      </w:r>
      <w:r>
        <w:rPr>
          <w:rFonts w:hint="eastAsia" w:ascii="宋体" w:hAnsi="宋体" w:eastAsia="宋体"/>
        </w:rPr>
        <w:t>承包商预审合格的基本条件包括：</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w:t>
      </w:r>
      <w:r>
        <w:rPr>
          <w:rFonts w:ascii="宋体" w:hAnsi="宋体" w:eastAsia="宋体"/>
        </w:rPr>
        <w:t> </w:t>
      </w:r>
      <w:r>
        <w:rPr>
          <w:rFonts w:hint="eastAsia" w:ascii="宋体" w:hAnsi="宋体" w:eastAsia="宋体"/>
        </w:rPr>
        <w:t>营业执照有效、年检记录齐全，其营业范围符合项目的要求；</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w:t>
      </w:r>
      <w:r>
        <w:rPr>
          <w:rFonts w:ascii="宋体" w:hAnsi="宋体" w:eastAsia="宋体"/>
        </w:rPr>
        <w:t> </w:t>
      </w:r>
      <w:r>
        <w:rPr>
          <w:rFonts w:hint="eastAsia" w:ascii="宋体" w:hAnsi="宋体" w:eastAsia="宋体"/>
        </w:rPr>
        <w:t xml:space="preserve">资质证书有效、年检记录齐全，其施工能力符合项目和有关政府职能部门的要求；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w:t>
      </w:r>
      <w:r>
        <w:rPr>
          <w:rFonts w:ascii="宋体" w:hAnsi="宋体" w:eastAsia="宋体"/>
        </w:rPr>
        <w:t> </w:t>
      </w:r>
      <w:r>
        <w:rPr>
          <w:rFonts w:hint="eastAsia" w:ascii="宋体" w:hAnsi="宋体" w:eastAsia="宋体"/>
        </w:rPr>
        <w:t>法人资格证书有效，与营业执照、资质证书所登记的法人一致，其资格和签约权限应与所承包的工程相适应；</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d</w:t>
      </w:r>
      <w:r>
        <w:rPr>
          <w:rFonts w:hint="eastAsia" w:ascii="宋体" w:hAnsi="宋体" w:eastAsia="宋体"/>
        </w:rPr>
        <w:t>)</w:t>
      </w:r>
      <w:r>
        <w:rPr>
          <w:rFonts w:ascii="宋体" w:hAnsi="宋体" w:eastAsia="宋体"/>
        </w:rPr>
        <w:t> </w:t>
      </w:r>
      <w:r>
        <w:rPr>
          <w:rFonts w:hint="eastAsia" w:ascii="宋体" w:hAnsi="宋体" w:eastAsia="宋体"/>
        </w:rPr>
        <w:t>法人委托书有效，其资格和签约权限应与所承包的工程相适应；</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e</w:t>
      </w:r>
      <w:r>
        <w:rPr>
          <w:rFonts w:hint="eastAsia" w:ascii="宋体" w:hAnsi="宋体" w:eastAsia="宋体"/>
        </w:rPr>
        <w:t>)</w:t>
      </w:r>
      <w:r>
        <w:rPr>
          <w:rFonts w:ascii="宋体" w:hAnsi="宋体" w:eastAsia="宋体"/>
        </w:rPr>
        <w:t> </w:t>
      </w:r>
      <w:r>
        <w:rPr>
          <w:rFonts w:hint="eastAsia" w:ascii="宋体" w:hAnsi="宋体" w:eastAsia="宋体"/>
        </w:rPr>
        <w:t>主要负责人、安全管理人员应持有由当地政府职能管理部门发放的</w:t>
      </w:r>
      <w:r>
        <w:rPr>
          <w:rFonts w:hint="eastAsia" w:ascii="宋体" w:hAnsi="宋体" w:eastAsia="宋体"/>
          <w:szCs w:val="21"/>
        </w:rPr>
        <w:t>安全生产知识和管理能力考核合格证</w:t>
      </w:r>
      <w:r>
        <w:rPr>
          <w:rFonts w:hint="eastAsia" w:ascii="宋体" w:hAnsi="宋体" w:eastAsia="宋体"/>
        </w:rPr>
        <w:t>。特种作业操作证与承包商从事的工种一致，证件通过“特种作业操作证及安全生产知识和管理能力考核合格信息查询”系统查询有效。</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f</w:t>
      </w:r>
      <w:r>
        <w:rPr>
          <w:rFonts w:hint="eastAsia" w:ascii="宋体" w:hAnsi="宋体" w:eastAsia="宋体"/>
        </w:rPr>
        <w:t>）企业规定的其他条件。</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5.1.4 </w:t>
      </w:r>
      <w:r>
        <w:rPr>
          <w:rFonts w:hint="eastAsia" w:ascii="宋体" w:hAnsi="宋体" w:eastAsia="宋体"/>
        </w:rPr>
        <w:t>在选择承包商时，企业安全管理部门应参与并综合关注以下方面：</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）承包商安全业绩；</w:t>
      </w:r>
      <w:r>
        <w:rPr>
          <w:rFonts w:ascii="宋体" w:hAnsi="宋体" w:eastAsia="宋体"/>
        </w:rPr>
        <w:t>  </w:t>
      </w:r>
    </w:p>
    <w:p>
      <w:pPr>
        <w:widowControl/>
        <w:autoSpaceDE w:val="0"/>
        <w:autoSpaceDN w:val="0"/>
        <w:spacing w:before="156" w:beforeLines="50" w:after="156" w:afterLines="50"/>
        <w:ind w:firstLine="420" w:firstLineChars="200"/>
        <w:jc w:val="left"/>
        <w:rPr>
          <w:rFonts w:ascii="宋体" w:hAnsi="宋体" w:eastAsia="宋体"/>
        </w:rPr>
      </w:pPr>
      <w:r>
        <w:rPr>
          <w:rFonts w:hint="eastAsia" w:ascii="宋体" w:hAnsi="宋体" w:eastAsia="宋体"/>
          <w:lang w:val="en-US" w:eastAsia="zh-CN"/>
        </w:rPr>
        <w:t>b</w:t>
      </w:r>
      <w:r>
        <w:rPr>
          <w:rFonts w:hint="eastAsia" w:ascii="宋体" w:hAnsi="宋体" w:eastAsia="宋体"/>
        </w:rPr>
        <w:t>）承包商的资质（安全生产许可证等）等级；</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）承包商设备机械、技术力量、人员配备情况；</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d</w:t>
      </w:r>
      <w:r>
        <w:rPr>
          <w:rFonts w:hint="eastAsia" w:ascii="宋体" w:hAnsi="宋体" w:eastAsia="宋体"/>
        </w:rPr>
        <w:t>）承包商安全管理机构组成，安全工器具认证、特种作业人员认证及培训情况；</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e</w:t>
      </w:r>
      <w:r>
        <w:rPr>
          <w:rFonts w:hint="eastAsia" w:ascii="宋体" w:hAnsi="宋体" w:eastAsia="宋体"/>
        </w:rPr>
        <w:t>）承包商员工工伤、医疗和社会等保险，职业健康检查情况；</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f</w:t>
      </w:r>
      <w:r>
        <w:rPr>
          <w:rFonts w:hint="eastAsia" w:ascii="宋体" w:hAnsi="宋体" w:eastAsia="宋体"/>
        </w:rPr>
        <w:t>）承包商风险评估结果。</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5.1.5 </w:t>
      </w:r>
      <w:r>
        <w:rPr>
          <w:rFonts w:hint="eastAsia" w:ascii="宋体" w:hAnsi="宋体" w:eastAsia="宋体"/>
        </w:rPr>
        <w:t>通过审批的承包商，由企业进行合格承包商的记录备案。</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5.2 承包商的合同、安全协议管理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5.2.1 </w:t>
      </w:r>
      <w:r>
        <w:rPr>
          <w:rFonts w:hint="eastAsia" w:ascii="宋体" w:hAnsi="宋体" w:eastAsia="宋体"/>
        </w:rPr>
        <w:t>所有承包商均应在签定承包合同和安全协议后，方可进入企业按照程序进行现场施工或开展劳务活动。</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5.2.2</w:t>
      </w:r>
      <w:r>
        <w:rPr>
          <w:rFonts w:ascii="黑体" w:hAnsi="宋体" w:eastAsia="黑体"/>
        </w:rPr>
        <w:t> </w:t>
      </w:r>
      <w:r>
        <w:rPr>
          <w:rFonts w:hint="eastAsia" w:ascii="宋体" w:hAnsi="宋体" w:eastAsia="宋体"/>
        </w:rPr>
        <w:t>承包合同中应明确承包商工作范围、管理职责和工作分界。</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5.2.3</w:t>
      </w:r>
      <w:r>
        <w:rPr>
          <w:rFonts w:hint="eastAsia" w:ascii="宋体" w:hAnsi="宋体" w:eastAsia="宋体"/>
        </w:rPr>
        <w:t xml:space="preserve"> 企业必须与承包商签订安全协议。安全协议应与项目合同同时协商、同时报审、同时签订。没有制定相应的安全协议的施工项目禁止签订项目合同。《安全协议书》包括以下内容：企业安全规章制度告知、工作范围、清晰界定安全责任、企业提出的确保施工安全的组织措施、安全措施和技术措施要求、现场实施奖惩有关规定、有关事故报告、调查、统计、责任划分的规定、对承包商人员进行安全教育、终止施工特殊条款、承包商不得擅自将工程转包、分包等相关内容。</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5.3 承包商的入厂管理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5.3.1 </w:t>
      </w:r>
      <w:r>
        <w:rPr>
          <w:rFonts w:hint="eastAsia" w:ascii="宋体" w:hAnsi="宋体" w:eastAsia="宋体"/>
        </w:rPr>
        <w:t>企业要求承包商持有效合同，在计划工期前来企业办理开工手续。</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5.3.2 </w:t>
      </w:r>
      <w:r>
        <w:rPr>
          <w:rFonts w:hint="eastAsia" w:ascii="宋体" w:hAnsi="宋体" w:eastAsia="宋体"/>
        </w:rPr>
        <w:t>开工前，承包商应确保其进企业工作人员均经过必要的法规、安全规定、现场主要风险及控制措施的培训，以满足工作需要，并向企业提供书面材料。</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5.3.3 </w:t>
      </w:r>
      <w:r>
        <w:rPr>
          <w:rFonts w:hint="eastAsia" w:ascii="宋体" w:hAnsi="宋体" w:eastAsia="宋体"/>
        </w:rPr>
        <w:t>凡进入企业的承包商施工人员都必须接受入厂、</w:t>
      </w:r>
      <w:r>
        <w:rPr>
          <w:rFonts w:ascii="宋体" w:hAnsi="宋体" w:eastAsia="宋体"/>
        </w:rPr>
        <w:t> </w:t>
      </w:r>
      <w:r>
        <w:rPr>
          <w:rFonts w:hint="eastAsia" w:ascii="宋体" w:hAnsi="宋体" w:eastAsia="宋体"/>
        </w:rPr>
        <w:t>项目负责部门二级安全教育。教育记录由双方签字后备案。</w:t>
      </w:r>
      <w:r>
        <w:rPr>
          <w:rFonts w:ascii="宋体" w:hAnsi="宋体" w:eastAsia="宋体"/>
        </w:rPr>
        <w:t> </w:t>
      </w:r>
      <w:r>
        <w:rPr>
          <w:rFonts w:hint="eastAsia" w:ascii="宋体" w:hAnsi="宋体" w:eastAsia="宋体"/>
        </w:rPr>
        <w:t xml:space="preserve">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5.3.4</w:t>
      </w:r>
      <w:r>
        <w:rPr>
          <w:rFonts w:ascii="黑体" w:hAnsi="宋体" w:eastAsia="黑体"/>
        </w:rPr>
        <w:t> </w:t>
      </w:r>
      <w:r>
        <w:rPr>
          <w:rFonts w:hint="eastAsia" w:ascii="宋体" w:hAnsi="宋体" w:eastAsia="宋体"/>
        </w:rPr>
        <w:t>入厂安全教育由企业安全管理部门负责，教育内容为：</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）企业安全规章制度；</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）作业区域概述；</w:t>
      </w:r>
      <w:r>
        <w:rPr>
          <w:rFonts w:ascii="宋体" w:hAnsi="宋体" w:eastAsia="宋体"/>
        </w:rPr>
        <w:t> </w:t>
      </w:r>
      <w:r>
        <w:rPr>
          <w:rFonts w:hint="eastAsia" w:ascii="宋体" w:hAnsi="宋体" w:eastAsia="宋体"/>
        </w:rPr>
        <w:t xml:space="preserve">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）工作场所的风险及安全、健康环保要求；</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d</w:t>
      </w:r>
      <w:r>
        <w:rPr>
          <w:rFonts w:hint="eastAsia" w:ascii="宋体" w:hAnsi="宋体" w:eastAsia="宋体"/>
        </w:rPr>
        <w:t>）工作场所的有害物质；</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e</w:t>
      </w:r>
      <w:r>
        <w:rPr>
          <w:rFonts w:hint="eastAsia" w:ascii="宋体" w:hAnsi="宋体" w:eastAsia="宋体"/>
        </w:rPr>
        <w:t>）现场应急反应和报警；</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f</w:t>
      </w:r>
      <w:r>
        <w:rPr>
          <w:rFonts w:hint="eastAsia" w:ascii="宋体" w:hAnsi="宋体" w:eastAsia="宋体"/>
        </w:rPr>
        <w:t>）作业许可证制度；</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g</w:t>
      </w:r>
      <w:r>
        <w:rPr>
          <w:rFonts w:hint="eastAsia" w:ascii="宋体" w:hAnsi="宋体" w:eastAsia="宋体"/>
        </w:rPr>
        <w:t>）化工系统典型事故教训、事故报告；</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h</w:t>
      </w:r>
      <w:r>
        <w:rPr>
          <w:rFonts w:hint="eastAsia" w:ascii="宋体" w:hAnsi="宋体" w:eastAsia="宋体"/>
        </w:rPr>
        <w:t>）车辆安全；</w:t>
      </w:r>
      <w:r>
        <w:rPr>
          <w:rFonts w:ascii="宋体" w:hAnsi="宋体" w:eastAsia="宋体"/>
        </w:rPr>
        <w:t> </w:t>
      </w:r>
    </w:p>
    <w:p>
      <w:pPr>
        <w:widowControl/>
        <w:autoSpaceDE w:val="0"/>
        <w:autoSpaceDN w:val="0"/>
        <w:spacing w:before="156" w:beforeLines="50" w:after="156" w:afterLines="50"/>
        <w:ind w:firstLine="420" w:firstLineChars="200"/>
        <w:rPr>
          <w:rFonts w:ascii="黑体" w:hAnsi="宋体" w:eastAsia="黑体"/>
        </w:rPr>
      </w:pPr>
      <w:r>
        <w:rPr>
          <w:rFonts w:hint="eastAsia" w:ascii="宋体" w:hAnsi="宋体" w:eastAsia="宋体"/>
          <w:lang w:val="en-US" w:eastAsia="zh-CN"/>
        </w:rPr>
        <w:t>i</w:t>
      </w:r>
      <w:r>
        <w:rPr>
          <w:rFonts w:hint="eastAsia" w:ascii="宋体" w:hAnsi="宋体" w:eastAsia="宋体"/>
        </w:rPr>
        <w:t>）门禁和保卫；</w:t>
      </w:r>
      <w:r>
        <w:rPr>
          <w:rFonts w:ascii="宋体" w:hAnsi="宋体" w:eastAsia="宋体"/>
        </w:rPr>
        <w:t> </w:t>
      </w:r>
      <w:r>
        <w:rPr>
          <w:rFonts w:hint="eastAsia" w:ascii="黑体" w:hAnsi="宋体" w:eastAsia="黑体"/>
        </w:rPr>
        <w:t xml:space="preserve">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j</w:t>
      </w:r>
      <w:r>
        <w:rPr>
          <w:rFonts w:hint="eastAsia" w:ascii="宋体" w:hAnsi="宋体" w:eastAsia="宋体"/>
        </w:rPr>
        <w:t>）法律法规要求的其他内容。</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5.3.5</w:t>
      </w:r>
      <w:r>
        <w:rPr>
          <w:rFonts w:ascii="黑体" w:hAnsi="宋体" w:eastAsia="黑体"/>
        </w:rPr>
        <w:t> </w:t>
      </w:r>
      <w:r>
        <w:rPr>
          <w:rFonts w:hint="eastAsia" w:ascii="宋体" w:hAnsi="宋体" w:eastAsia="宋体"/>
        </w:rPr>
        <w:t>项目负责部门负责对承包商进行相关作业场所的安全规范、规定的培训安全教育，内容应包括：</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）工程概况、施工特点和安全管理要求；</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）工作场所的风险及安全、健康环保要求；</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）工程施工区域内的主要危险作业项目和场所风险分析及管控措施，安全注意事项；</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d</w:t>
      </w:r>
      <w:r>
        <w:rPr>
          <w:rFonts w:hint="eastAsia" w:ascii="宋体" w:hAnsi="宋体" w:eastAsia="宋体"/>
        </w:rPr>
        <w:t>）工作场所的职业危害因素及个人防护用品的使用要求；</w:t>
      </w:r>
    </w:p>
    <w:p>
      <w:pPr>
        <w:widowControl/>
        <w:autoSpaceDE w:val="0"/>
        <w:autoSpaceDN w:val="0"/>
        <w:spacing w:before="156" w:beforeLines="50" w:after="156" w:afterLines="50"/>
        <w:ind w:firstLine="420" w:firstLineChars="200"/>
        <w:rPr>
          <w:rFonts w:hint="eastAsia" w:ascii="宋体" w:hAnsi="宋体" w:eastAsia="宋体"/>
          <w:lang w:eastAsia="zh-CN"/>
        </w:rPr>
      </w:pPr>
      <w:r>
        <w:rPr>
          <w:rFonts w:hint="eastAsia" w:ascii="宋体" w:hAnsi="宋体" w:eastAsia="宋体"/>
          <w:lang w:val="en-US" w:eastAsia="zh-CN"/>
        </w:rPr>
        <w:t>e</w:t>
      </w:r>
      <w:r>
        <w:rPr>
          <w:rFonts w:hint="eastAsia" w:ascii="宋体" w:hAnsi="宋体" w:eastAsia="宋体"/>
        </w:rPr>
        <w:t>）现场应急反应和报警；现场紧急情况下的疏散、急救和应急处理；应急救援器材的使用和逃生</w:t>
      </w:r>
      <w:r>
        <w:rPr>
          <w:rFonts w:hint="eastAsia" w:ascii="宋体" w:hAnsi="宋体" w:eastAsia="宋体"/>
          <w:lang w:eastAsia="zh-CN"/>
        </w:rPr>
        <w:t>；</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f</w:t>
      </w:r>
      <w:r>
        <w:rPr>
          <w:rFonts w:hint="eastAsia" w:ascii="宋体" w:hAnsi="宋体" w:eastAsia="宋体"/>
        </w:rPr>
        <w:t>) 事故报告等内容。</w:t>
      </w:r>
      <w:r>
        <w:rPr>
          <w:rFonts w:ascii="宋体" w:hAnsi="宋体" w:eastAsia="宋体"/>
        </w:rPr>
        <w:t> </w:t>
      </w:r>
      <w:r>
        <w:rPr>
          <w:rFonts w:hint="eastAsia" w:ascii="宋体" w:hAnsi="宋体" w:eastAsia="宋体"/>
        </w:rPr>
        <w:t xml:space="preserve">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5.3.6</w:t>
      </w:r>
      <w:r>
        <w:rPr>
          <w:rFonts w:ascii="黑体" w:hAnsi="宋体" w:eastAsia="黑体"/>
        </w:rPr>
        <w:t> </w:t>
      </w:r>
      <w:r>
        <w:rPr>
          <w:rFonts w:hint="eastAsia" w:ascii="宋体" w:hAnsi="宋体" w:eastAsia="宋体"/>
        </w:rPr>
        <w:t>企业安全管理部门、项目负责部门分别对施工人员培训内容及其他相关安全知识进行考试，并保存培训过程、试卷等记录。</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5.3.7 </w:t>
      </w:r>
      <w:r>
        <w:rPr>
          <w:rFonts w:hint="eastAsia" w:ascii="宋体" w:hAnsi="宋体" w:eastAsia="宋体"/>
        </w:rPr>
        <w:t>承包商进入施工现场人员安全教育考试成绩不及格者（满分100分，80分及以上为合格），不得办理入厂证，承包商不得派其进入施工现场。</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5.3.8</w:t>
      </w:r>
      <w:r>
        <w:rPr>
          <w:rFonts w:hint="eastAsia" w:ascii="宋体" w:hAnsi="宋体" w:eastAsia="宋体"/>
        </w:rPr>
        <w:t xml:space="preserve"> 企业门禁管理部门，根据承包商入厂合格手续对人员进行登记备案，严格按人数和施工期限办理入厂证，承包商施工人员严格遵守门禁管理制度，确保人证相符，凭证进出施工现场。</w:t>
      </w:r>
    </w:p>
    <w:p>
      <w:pPr>
        <w:widowControl/>
        <w:autoSpaceDE w:val="0"/>
        <w:autoSpaceDN w:val="0"/>
        <w:spacing w:before="156" w:beforeLines="50" w:after="156" w:afterLines="50"/>
        <w:ind w:firstLine="420" w:firstLineChars="200"/>
        <w:rPr>
          <w:rFonts w:ascii="黑体" w:hAnsi="宋体" w:eastAsia="黑体"/>
          <w:szCs w:val="20"/>
        </w:rPr>
      </w:pPr>
      <w:r>
        <w:rPr>
          <w:rFonts w:hint="eastAsia" w:ascii="宋体" w:hAnsi="宋体" w:eastAsia="宋体"/>
        </w:rPr>
        <w:t>5.3.9 企业应核查承包商管理人员、技术人员、特种作业人员和关键岗位人员是否与投标文件中承诺的一致。核实后双方确认签字，存档备查。确需变更的，所变更的人员必须与投标文件内人员的专业及职称一致，并经企业项目分管负责人审批同意后，方可变更。企业对承包商项目负责人、主要技术人员离开项目施工现场应制定相关管理规定。</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5.4</w:t>
      </w:r>
      <w:r>
        <w:rPr>
          <w:rFonts w:ascii="黑体" w:hAnsi="宋体" w:eastAsia="黑体"/>
        </w:rPr>
        <w:t> </w:t>
      </w:r>
      <w:r>
        <w:rPr>
          <w:rFonts w:hint="eastAsia" w:ascii="黑体" w:hAnsi="宋体" w:eastAsia="黑体"/>
        </w:rPr>
        <w:t>承包商的开工前管理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5.4.1 </w:t>
      </w:r>
      <w:r>
        <w:rPr>
          <w:rFonts w:hint="eastAsia" w:ascii="宋体" w:hAnsi="宋体" w:eastAsia="宋体"/>
        </w:rPr>
        <w:t>开工前，企业项目负责部门应组织承包商及企业双方现场负责人、安全管理人员以及项目技术、电仪管理人员等召开开工前会议，会议具体内容包括：</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）通报合同中相关的安全管理要求；</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）承包商人员进出作业现场控制和要求；</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）现场作业条件，包括现场作业环境、工艺设备、公共设施、安全环保条件、定置管理等；</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d</w:t>
      </w:r>
      <w:r>
        <w:rPr>
          <w:rFonts w:hint="eastAsia" w:ascii="宋体" w:hAnsi="宋体" w:eastAsia="宋体"/>
        </w:rPr>
        <w:t>）项目作业风险及控制要求；</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e</w:t>
      </w:r>
      <w:r>
        <w:rPr>
          <w:rFonts w:hint="eastAsia" w:ascii="宋体" w:hAnsi="宋体" w:eastAsia="宋体"/>
        </w:rPr>
        <w:t>）承包商对设备、人员及项目的安全环保的管理情况进行说明，提供能够满足工程安全技术需要的作业人员；</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f</w:t>
      </w:r>
      <w:r>
        <w:rPr>
          <w:rFonts w:hint="eastAsia" w:ascii="宋体" w:hAnsi="宋体" w:eastAsia="宋体"/>
        </w:rPr>
        <w:t>）现场安全环保监督和审核程序、作业许可及奖惩规定，包括劳保用品穿戴规定等；</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h</w:t>
      </w:r>
      <w:r>
        <w:rPr>
          <w:rFonts w:hint="eastAsia" w:ascii="宋体" w:hAnsi="宋体" w:eastAsia="宋体"/>
        </w:rPr>
        <w:t>）现场应急措施；</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i</w:t>
      </w:r>
      <w:r>
        <w:rPr>
          <w:rFonts w:hint="eastAsia" w:ascii="宋体" w:hAnsi="宋体" w:eastAsia="宋体"/>
        </w:rPr>
        <w:t>）与承包商一起进行现场作业条件的确认；</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j</w:t>
      </w:r>
      <w:r>
        <w:rPr>
          <w:rFonts w:hint="eastAsia" w:ascii="宋体" w:hAnsi="宋体" w:eastAsia="宋体"/>
        </w:rPr>
        <w:t>）指定双方责任人员或安全管理联系人。</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rPr>
        <w:t>5.4.2</w:t>
      </w:r>
      <w:r>
        <w:rPr>
          <w:rFonts w:hint="eastAsia" w:ascii="黑体" w:hAnsi="宋体" w:eastAsia="黑体"/>
        </w:rPr>
        <w:t xml:space="preserve"> </w:t>
      </w:r>
      <w:r>
        <w:rPr>
          <w:rFonts w:hint="eastAsia" w:ascii="宋体" w:hAnsi="宋体" w:eastAsia="宋体"/>
        </w:rPr>
        <w:t>承包商在对有可能造成火灾、爆炸、触电、中毒、窒息、机械伤害、烧伤烫伤等事故及有可能引起生产设备停电、停运事故等的特殊作业、危险作业，应事先编制安全作业规程、施工方案，企业应与承包商一道制定现场应急救援预案。企业安全管理部门、项目负责部门必须对施工方案、作业操作规程进行审查签字。</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rPr>
        <w:t>5.4.3 企业安全管理部门、项目负责部门应与承包商一起，对承包商作业活动前进行风险辨识，制定管控措施，对承包商施工人员进行培训和安全技术交底，双方进行签字确认。</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rPr>
        <w:t>5.4.4</w:t>
      </w:r>
      <w:r>
        <w:rPr>
          <w:rFonts w:hint="eastAsia" w:ascii="黑体" w:hAnsi="宋体" w:eastAsia="黑体"/>
        </w:rPr>
        <w:t xml:space="preserve"> </w:t>
      </w:r>
      <w:r>
        <w:rPr>
          <w:rFonts w:hint="eastAsia" w:ascii="宋体" w:hAnsi="宋体" w:eastAsia="宋体"/>
        </w:rPr>
        <w:t>安全技术交底的内容：</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）作业过程中可能出现的泄漏、火灾、爆炸、中毒窒息、触电、坠落、物体打击和机械伤害等方面的危害因素、防范措施和事故应急措施；</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）作业票证管理、临时用电、厂内机动车等特殊要求；</w:t>
      </w:r>
    </w:p>
    <w:p>
      <w:pPr>
        <w:widowControl/>
        <w:autoSpaceDE w:val="0"/>
        <w:autoSpaceDN w:val="0"/>
        <w:spacing w:before="156" w:beforeLines="50" w:after="156" w:afterLines="50"/>
        <w:ind w:firstLine="420" w:firstLineChars="200"/>
        <w:rPr>
          <w:rFonts w:ascii="黑体" w:hAnsi="宋体" w:eastAsia="黑体"/>
        </w:rPr>
      </w:pPr>
      <w:r>
        <w:rPr>
          <w:rFonts w:hint="eastAsia" w:ascii="宋体" w:hAnsi="宋体" w:eastAsia="宋体"/>
          <w:lang w:val="en-US" w:eastAsia="zh-CN"/>
        </w:rPr>
        <w:t>c</w:t>
      </w:r>
      <w:r>
        <w:rPr>
          <w:rFonts w:hint="eastAsia" w:ascii="宋体" w:hAnsi="宋体" w:eastAsia="宋体"/>
        </w:rPr>
        <w:t>）装置存在退料、吹扫记录、能量隔离措施等。</w:t>
      </w:r>
    </w:p>
    <w:p>
      <w:pPr>
        <w:widowControl/>
        <w:autoSpaceDE w:val="0"/>
        <w:autoSpaceDN w:val="0"/>
        <w:spacing w:before="156" w:beforeLines="50" w:after="156" w:afterLines="50"/>
        <w:ind w:firstLine="420" w:firstLineChars="200"/>
        <w:rPr>
          <w:rFonts w:ascii="宋体" w:hAnsi="宋体" w:eastAsia="宋体"/>
          <w:color w:val="000000"/>
        </w:rPr>
      </w:pPr>
      <w:r>
        <w:rPr>
          <w:rFonts w:hint="eastAsia" w:ascii="黑体" w:hAnsi="宋体" w:eastAsia="黑体"/>
        </w:rPr>
        <w:t xml:space="preserve">5.4.5 </w:t>
      </w:r>
      <w:r>
        <w:rPr>
          <w:rFonts w:hint="eastAsia" w:ascii="宋体" w:hAnsi="宋体" w:eastAsia="宋体"/>
        </w:rPr>
        <w:t>企业应对承包商购置、租赁的施工机具、</w:t>
      </w:r>
      <w:r>
        <w:rPr>
          <w:rFonts w:hint="eastAsia" w:ascii="宋体" w:hAnsi="宋体" w:eastAsia="宋体"/>
          <w:color w:val="000000"/>
        </w:rPr>
        <w:t>工器具及配件完好性进行确认，应具有生产（制造）许可证、产品合格证、检测合格证，确保施工机械、电动工具和安全用具符合规定的安全标准，经监理单位、项目单位验收合格后方可入场。验收后三方确认签字，存档备查。</w:t>
      </w:r>
    </w:p>
    <w:p>
      <w:pPr>
        <w:widowControl/>
        <w:autoSpaceDE w:val="0"/>
        <w:autoSpaceDN w:val="0"/>
        <w:spacing w:before="156" w:beforeLines="50" w:after="156" w:afterLines="50"/>
        <w:ind w:firstLine="420" w:firstLineChars="200"/>
        <w:rPr>
          <w:rFonts w:ascii="宋体" w:hAnsi="宋体" w:eastAsia="宋体"/>
          <w:szCs w:val="20"/>
        </w:rPr>
      </w:pPr>
      <w:r>
        <w:rPr>
          <w:rFonts w:hint="eastAsia" w:ascii="黑体" w:hAnsi="宋体" w:eastAsia="黑体"/>
        </w:rPr>
        <w:t xml:space="preserve">5.4.6 </w:t>
      </w:r>
      <w:r>
        <w:rPr>
          <w:rFonts w:hint="eastAsia" w:ascii="宋体" w:hAnsi="宋体" w:eastAsia="宋体"/>
        </w:rPr>
        <w:t>承包商应执行企业的工作票、工作许可、特殊作业票证等相关管理制度要求。开工前，企业安全管理人员、属地主管必须到现场检查安全技术交底、安全培训、作业票证、施工安全措施等落实情况。</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5.4.7</w:t>
      </w:r>
      <w:r>
        <w:rPr>
          <w:rFonts w:hint="eastAsia" w:ascii="宋体" w:hAnsi="宋体" w:eastAsia="宋体"/>
        </w:rPr>
        <w:t xml:space="preserve"> 承包商应将施工现场的办公、生活区与作业区分开设置，并保持安全距离；办公、生活区的选址应当符合安全性要求。职工的膳食、饮水、休息场所等应当符合卫生标准。施工单位不得在尚未竣工的建筑物内设置员工集体宿舍。</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 xml:space="preserve">5.4.8 </w:t>
      </w:r>
      <w:r>
        <w:rPr>
          <w:rFonts w:hint="eastAsia" w:ascii="宋体" w:hAnsi="宋体" w:eastAsia="宋体"/>
        </w:rPr>
        <w:t>承包商作业人员的准入年龄、文化程度必须满足项目单位管理要求；并应在入场前，按照《中华人民共和国职业病防治法》的有关规定，组织其所有人员在县级及以上医院职业健康体检；并建立作业人员职业健康档案，体检不合格人员严禁入场。</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5.4.9</w:t>
      </w:r>
      <w:r>
        <w:rPr>
          <w:rFonts w:hint="eastAsia" w:ascii="宋体" w:hAnsi="宋体" w:eastAsia="宋体"/>
        </w:rPr>
        <w:t xml:space="preserve"> 承包商应采取有效措施，控制施工现场的各种粉尘、废气、噪音对环境的污染和危害，不得违反国家及地区环保标准。</w:t>
      </w:r>
    </w:p>
    <w:p>
      <w:pPr>
        <w:widowControl/>
        <w:autoSpaceDE w:val="0"/>
        <w:autoSpaceDN w:val="0"/>
        <w:spacing w:before="156" w:beforeLines="50" w:after="156" w:afterLines="50"/>
        <w:ind w:firstLine="420" w:firstLineChars="200"/>
        <w:rPr>
          <w:rFonts w:ascii="宋体" w:hAnsi="宋体" w:eastAsia="宋体"/>
          <w:szCs w:val="20"/>
        </w:rPr>
      </w:pPr>
      <w:r>
        <w:rPr>
          <w:rFonts w:hint="eastAsia" w:ascii="黑体" w:hAnsi="宋体" w:eastAsia="黑体"/>
        </w:rPr>
        <w:t>5.4.</w:t>
      </w:r>
      <w:r>
        <w:rPr>
          <w:rFonts w:hint="eastAsia" w:ascii="黑体" w:hAnsi="宋体" w:eastAsia="黑体"/>
          <w:lang w:val="en-US" w:eastAsia="zh-CN"/>
        </w:rPr>
        <w:t>10</w:t>
      </w:r>
      <w:r>
        <w:rPr>
          <w:rFonts w:hint="eastAsia" w:ascii="宋体" w:hAnsi="宋体" w:eastAsia="宋体"/>
        </w:rPr>
        <w:t xml:space="preserve"> 承包商只能在得到企业批准后方可在项目单位存放有毒、有害物质，润滑油，化学品等，并要有必要的防泄漏及安全防护措施，存放地点应符合危险化学品管理规定。</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宋体" w:eastAsia="黑体"/>
        </w:rPr>
        <w:t>5.5 承包商的作业全程监督管理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5.5.1</w:t>
      </w:r>
      <w:r>
        <w:rPr>
          <w:rFonts w:hint="eastAsia" w:ascii="宋体" w:hAnsi="宋体" w:eastAsia="宋体"/>
        </w:rPr>
        <w:t xml:space="preserve"> 承包商在企业的施工现场要做到组织措施、技术措施、安全措施落实到位，应急预案内容全面培训执行到位，作业活动风险告知到每一个作业人员。</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组织措施落实，要求根据作业风险等级的划分，承包商各级责任人员、属地主管和负责人要到现场，企业和承包商均要安排现场监护人员，对作业过程实行双人监护，并承担相应的管理、组织责任；现场负责人短时间离开现场，必须指定临时负责人，长时间离开应更换现场负责人，现场负责人变更应提前一天报企业安全管理部门、项目负责部门审批。</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技术措施落实，要求企业项目责任部门组织项目有关人员学习经审批的作业规程、施工方案，并按照作业规程、施工方案上规定的技术措施现场进行落实执行情况。承包商严格按照作业规程、施工方案进行施工。</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）安全措施落实，要求企业安全管理部门、属地主管结合施工方案内容制定的有针对性的安全措施，按照特殊作业规范的程序落实安全措施的现场确认工作。</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d</w:t>
      </w:r>
      <w:r>
        <w:rPr>
          <w:rFonts w:hint="eastAsia" w:ascii="宋体" w:hAnsi="宋体" w:eastAsia="宋体"/>
        </w:rPr>
        <w:t>）应急预案落实，要求承包商根据施工项目的风险评估，对可能造成的后果，制定相关应急预案，组织相应人员学习应急预案。</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e</w:t>
      </w:r>
      <w:r>
        <w:rPr>
          <w:rFonts w:hint="eastAsia" w:ascii="宋体" w:hAnsi="宋体" w:eastAsia="宋体"/>
        </w:rPr>
        <w:t>）风险告知落实，要求企业项目负责部门、安全管理部门要认真组织对施工项目的作业环境进行风险评估，告知承包商该项目的危险有害因素和危害程度，并为其提供安全的作业场所。</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5.5.2</w:t>
      </w:r>
      <w:r>
        <w:rPr>
          <w:rFonts w:ascii="宋体" w:hAnsi="宋体" w:eastAsia="宋体"/>
        </w:rPr>
        <w:t> </w:t>
      </w:r>
      <w:r>
        <w:rPr>
          <w:rFonts w:hint="eastAsia" w:ascii="宋体" w:hAnsi="宋体" w:eastAsia="宋体"/>
        </w:rPr>
        <w:t>企业各级安全管理人员、属地主管应经常对承包商作业人员、安全设备设施及现场环境等进行检查，发现问题及时整改、考核。</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5.5.3</w:t>
      </w:r>
      <w:r>
        <w:rPr>
          <w:rFonts w:ascii="宋体" w:hAnsi="宋体" w:eastAsia="宋体"/>
        </w:rPr>
        <w:t> </w:t>
      </w:r>
      <w:r>
        <w:rPr>
          <w:rFonts w:hint="eastAsia" w:ascii="宋体" w:hAnsi="宋体" w:eastAsia="宋体"/>
        </w:rPr>
        <w:t>企业要督促承包商建立自己的安全检查制度，做好内部各级各类安全检查，确保承包商的作业活动、人员、环境等符合企业安全工作的要求。</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5.5.4 </w:t>
      </w:r>
      <w:r>
        <w:rPr>
          <w:rFonts w:hint="eastAsia" w:ascii="宋体" w:hAnsi="宋体" w:eastAsia="宋体"/>
        </w:rPr>
        <w:t>企业和承包商检查的方式包括日常、联合、专项或其他定期检查等。检查结果采取通报的方式通告双方，按照合同、安全协议约定条件进行处理并跟踪问题的整改过程。</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5.5.5 </w:t>
      </w:r>
      <w:r>
        <w:rPr>
          <w:rFonts w:hint="eastAsia" w:ascii="宋体" w:hAnsi="宋体" w:eastAsia="宋体"/>
        </w:rPr>
        <w:t>企业应抓好日常培训，属地主管在日常安全管理过程中，发现承包商员工不能满足安全作业要求时，应立即提出并按要求对其进行再培训，结束后进行考核，重新认证。</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5.5.6 </w:t>
      </w:r>
      <w:r>
        <w:rPr>
          <w:rFonts w:hint="eastAsia" w:ascii="宋体" w:hAnsi="宋体" w:eastAsia="宋体"/>
        </w:rPr>
        <w:t>承包商应按照规范要求做好继续教育培训，承包商经过一定的工作周期（1年以上的），为保证或提升承包商员工安全资质和技能水平，应对内部员工进行定期同科目培训，确保承包商员工技能得到巩固。</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5.5.7 </w:t>
      </w:r>
      <w:r>
        <w:rPr>
          <w:rFonts w:hint="eastAsia" w:ascii="宋体" w:hAnsi="宋体" w:eastAsia="宋体"/>
        </w:rPr>
        <w:t>现场作业过程中，同一作业区域内有两个以上承包商进行生产经营活动，可能危及对方生产安全时，企业应组织并监督承包商之间签订安全生产协议，明确各自的安全职责和应当采取的安全措施，各承包商均应指定专职安全生产管理人员进行安全检查与协调。</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5.5.8 </w:t>
      </w:r>
      <w:r>
        <w:rPr>
          <w:rFonts w:hint="eastAsia" w:ascii="宋体" w:hAnsi="宋体" w:eastAsia="宋体"/>
        </w:rPr>
        <w:t>承包商作业活动内容、地点、人员等发生变化的，严格履行企业变更程序，做好风险分析，制定措施，修改作业活动方案，作业活动方案必须通过原方案审核部门审核批准后，方可实施。</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5.5.9 </w:t>
      </w:r>
      <w:r>
        <w:rPr>
          <w:rFonts w:hint="eastAsia" w:ascii="宋体" w:hAnsi="宋体" w:eastAsia="宋体"/>
        </w:rPr>
        <w:t>承包商涉及进入受限空间作业、高处作业、吊装作业、临时用电作业、动土作业、断路作业以及在易燃易爆、有毒有害等区域涉及动火作业、抽堵盲板等特殊作业时，必须制定安全措施、办理作业许可证。</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5.5.10</w:t>
      </w:r>
      <w:r>
        <w:rPr>
          <w:rFonts w:hint="eastAsia" w:ascii="黑体" w:hAnsi="黑体" w:eastAsia="黑体" w:cs="黑体"/>
          <w:lang w:val="en-US" w:eastAsia="zh-CN"/>
        </w:rPr>
        <w:t xml:space="preserve"> </w:t>
      </w:r>
      <w:r>
        <w:rPr>
          <w:rFonts w:hint="eastAsia" w:ascii="宋体" w:hAnsi="宋体" w:eastAsia="宋体"/>
        </w:rPr>
        <w:t>承包商应在施工现场入口处、施工起重机械、临时用电设施、脚手架、出入通道口、楼梯口、电梯井口、孔洞口、桥梁口、隧道口、基坑边沿、爆破物及有害危险气体和液体存放处等危险部位，设置明显的安全警示标志，必要时采取隔离、上锁等防护措施。</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5.5.11</w:t>
      </w:r>
      <w:r>
        <w:rPr>
          <w:rFonts w:hint="eastAsia" w:ascii="黑体" w:hAnsi="黑体" w:eastAsia="黑体" w:cs="黑体"/>
          <w:lang w:val="en-US" w:eastAsia="zh-CN"/>
        </w:rPr>
        <w:t xml:space="preserve"> </w:t>
      </w:r>
      <w:r>
        <w:rPr>
          <w:rFonts w:hint="eastAsia" w:ascii="宋体" w:hAnsi="宋体" w:eastAsia="宋体"/>
        </w:rPr>
        <w:t>承包商应在施工现场采取措施，控制施工现场产生的废气、废水、危险废弃物、固体废物、噪声等对环境造成的污染和危害以及合法处置。</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5.5.12 </w:t>
      </w:r>
      <w:r>
        <w:rPr>
          <w:rFonts w:hint="eastAsia" w:ascii="宋体" w:hAnsi="宋体" w:eastAsia="宋体"/>
        </w:rPr>
        <w:t>承包商在施工过程中不得擅自更换工程技术管理人员、安全管理人员以及关系到施工安全及质量的特殊工种人员，特殊情况需要换人时须征得发包单位的同意，并对新参加工作人员进行相应的安全教育、培训和考核，合格后方可使用。</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5.5.13 </w:t>
      </w:r>
      <w:r>
        <w:rPr>
          <w:rFonts w:hint="eastAsia" w:ascii="宋体" w:hAnsi="宋体" w:eastAsia="宋体"/>
        </w:rPr>
        <w:t>承包商对员工离开工作区域1个月以上、调整工作岗位、人员变更、工艺和设备变更、作业环境变化或者承包商采用新工艺、新技术、新材料、新设备的，应进行专门的技术培训，经考核合格后，方可上岗作业，并报企业安全管理部门备案。</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5.5.14 </w:t>
      </w:r>
      <w:r>
        <w:rPr>
          <w:rFonts w:hint="eastAsia" w:ascii="宋体" w:hAnsi="宋体" w:eastAsia="宋体"/>
        </w:rPr>
        <w:t>承包商的施工项目，原则上不得分包、转包施工项目，必须分包、转包时，必须经企业有关负责人和工程管理、设备、生产等部门审查、批准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rPr>
        <w:t xml:space="preserve">5.5.15 </w:t>
      </w:r>
      <w:r>
        <w:rPr>
          <w:rFonts w:hint="eastAsia" w:ascii="宋体" w:hAnsi="宋体" w:eastAsia="宋体"/>
        </w:rPr>
        <w:t>承包商施工队伍严重违章作业，导致人员伤害、设备故障、环境污染等严重影响安全、环保、职业健康等后果的，企业可以要求承包商进行停工整顿，并有权决定终止合同的执行。</w:t>
      </w:r>
    </w:p>
    <w:p>
      <w:pPr>
        <w:widowControl/>
        <w:spacing w:before="156" w:beforeLines="50" w:after="156" w:afterLines="50" w:line="357" w:lineRule="atLeast"/>
        <w:ind w:firstLine="420" w:firstLineChars="200"/>
        <w:jc w:val="left"/>
        <w:outlineLvl w:val="0"/>
        <w:rPr>
          <w:rFonts w:ascii="宋体" w:hAnsi="Calibri" w:eastAsia="宋体" w:cs="Times New Roman"/>
          <w:kern w:val="0"/>
          <w:szCs w:val="20"/>
          <w:u w:color="000000"/>
        </w:rPr>
      </w:pPr>
      <w:r>
        <w:rPr>
          <w:rFonts w:hint="eastAsia" w:ascii="黑体" w:hAnsi="黑体" w:eastAsia="黑体" w:cs="黑体"/>
          <w:color w:val="auto"/>
          <w:kern w:val="2"/>
          <w:szCs w:val="22"/>
          <w:u w:color="auto"/>
        </w:rPr>
        <w:t xml:space="preserve">5.5.16 </w:t>
      </w:r>
      <w:r>
        <w:rPr>
          <w:rFonts w:hint="eastAsia" w:ascii="Calibri" w:hAnsi="Calibri" w:eastAsia="宋体" w:cs="Times New Roman"/>
          <w:color w:val="000000"/>
          <w:kern w:val="0"/>
          <w:szCs w:val="20"/>
          <w:u w:color="000000"/>
        </w:rPr>
        <w:t>承包商在企业施工区域内发生安全事故时，按照国家、企业有关事故管理规定向政府监管部门和企业安全管理部门报告，并按事故调查处理程序进行分析、处理。</w:t>
      </w:r>
      <w:r>
        <w:rPr>
          <w:rFonts w:ascii="Calibri" w:hAnsi="Calibri" w:eastAsia="宋体" w:cs="Times New Roman"/>
          <w:color w:val="000000"/>
          <w:kern w:val="0"/>
          <w:szCs w:val="20"/>
          <w:u w:color="000000"/>
        </w:rPr>
        <w:t xml:space="preserve">  </w:t>
      </w:r>
      <w:r>
        <w:rPr>
          <w:rFonts w:hint="eastAsia" w:ascii="宋体" w:hAnsi="Cambria" w:eastAsia="宋体" w:cs="Times New Roman"/>
          <w:b/>
          <w:bCs/>
          <w:kern w:val="0"/>
          <w:sz w:val="32"/>
          <w:szCs w:val="20"/>
          <w:u w:color="000000"/>
        </w:rPr>
        <w:t xml:space="preserve">                           </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5.6 承包商的考核与评价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ind w:firstLine="420" w:firstLineChars="200"/>
        <w:rPr>
          <w:rFonts w:ascii="Calibri" w:hAnsi="Calibri" w:eastAsia="宋体" w:cs="Times New Roman"/>
          <w:color w:val="000000"/>
          <w:kern w:val="0"/>
          <w:szCs w:val="20"/>
          <w:highlight w:val="yellow"/>
          <w:u w:color="000000"/>
        </w:rPr>
      </w:pPr>
      <w:r>
        <w:rPr>
          <w:rFonts w:hint="eastAsia" w:ascii="黑体" w:hAnsi="黑体" w:eastAsia="黑体" w:cs="黑体"/>
          <w:color w:val="000000"/>
          <w:kern w:val="0"/>
          <w:szCs w:val="20"/>
          <w:u w:color="000000"/>
        </w:rPr>
        <w:t xml:space="preserve">5.6.1 </w:t>
      </w:r>
      <w:r>
        <w:rPr>
          <w:rFonts w:hint="eastAsia" w:ascii="Calibri" w:hAnsi="Calibri" w:eastAsia="宋体" w:cs="Times New Roman"/>
          <w:color w:val="000000"/>
          <w:kern w:val="0"/>
          <w:szCs w:val="20"/>
          <w:u w:color="000000"/>
        </w:rPr>
        <w:t>企业应将承包商在本单位发生的任何设备、人身、安全、环境、职业卫生事故事件、未遂事故等纳入企业事故事件管理，并做好相关记录，承包商发生一般及以上事故的，企业有权单方中止合同，可采取立即清退出厂（场）等措施。</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 xml:space="preserve">5.6.2 </w:t>
      </w:r>
      <w:r>
        <w:rPr>
          <w:rFonts w:hint="eastAsia" w:ascii="宋体" w:hAnsi="宋体" w:eastAsia="宋体"/>
        </w:rPr>
        <w:t>承包商在企业发生违章违纪等现象的，按照企业相关规章制度进行考核处理，必要时进行停工整顿。</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5.6.3</w:t>
      </w:r>
      <w:r>
        <w:rPr>
          <w:rFonts w:hint="eastAsia" w:ascii="宋体" w:hAnsi="宋体" w:eastAsia="宋体"/>
        </w:rPr>
        <w:t xml:space="preserve"> 企业应制定《承包商安全业绩评价表》（见附录B），对承包商的选择阶段进行综合能力评价、施工过程中进行承包商日常工作表现和定期评价、项目结束后进行承包商总体结果评价。</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a</w:t>
      </w:r>
      <w:r>
        <w:rPr>
          <w:rFonts w:hint="eastAsia" w:ascii="宋体" w:hAnsi="宋体" w:eastAsia="宋体"/>
        </w:rPr>
        <w:t>）综合能力评价，承包商选择阶段由项目责任部门、安全管理部门采用量化打分方式进行评价，对承包商资质、安全管理方案、以往的安全业绩、施工前设备、人员、培训等专项方面进行评价。</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b</w:t>
      </w:r>
      <w:r>
        <w:rPr>
          <w:rFonts w:hint="eastAsia" w:ascii="宋体" w:hAnsi="宋体" w:eastAsia="宋体"/>
        </w:rPr>
        <w:t>）日常工作表现评价， 项目实施阶段，由属地单位对承包商日常安全表现（如培训、技术措施、安全措施、遵章守纪等执行情况）进行评价，每月至少开展一次。</w:t>
      </w:r>
    </w:p>
    <w:p>
      <w:pPr>
        <w:widowControl/>
        <w:autoSpaceDE w:val="0"/>
        <w:autoSpaceDN w:val="0"/>
        <w:spacing w:before="156" w:beforeLines="50" w:after="156" w:afterLines="50"/>
        <w:ind w:firstLine="420" w:firstLineChars="200"/>
        <w:rPr>
          <w:rFonts w:ascii="宋体" w:hAnsi="宋体" w:eastAsia="宋体"/>
        </w:rPr>
      </w:pPr>
      <w:r>
        <w:rPr>
          <w:rFonts w:hint="eastAsia" w:ascii="宋体" w:hAnsi="宋体" w:eastAsia="宋体"/>
          <w:lang w:val="en-US" w:eastAsia="zh-CN"/>
        </w:rPr>
        <w:t>c</w:t>
      </w:r>
      <w:r>
        <w:rPr>
          <w:rFonts w:hint="eastAsia" w:ascii="宋体" w:hAnsi="宋体" w:eastAsia="宋体"/>
        </w:rPr>
        <w:t>）总体结果评价，项目结束后，由项目责任部门、安全管理部门、属地单位综合各方的审核评估意见,做出总体结果评价。</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 xml:space="preserve">5.6.4 </w:t>
      </w:r>
      <w:r>
        <w:rPr>
          <w:rFonts w:hint="eastAsia" w:ascii="宋体" w:hAnsi="宋体" w:eastAsia="宋体"/>
        </w:rPr>
        <w:t>企业承包商主管部门应每年汇总各部门的承包商的安全表现评价结果和承包商提交的安全生产信息，对承包商的安全表现作出综合性总体业绩评价，并每年公布评价结果。</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 xml:space="preserve">5.6.5 </w:t>
      </w:r>
      <w:r>
        <w:rPr>
          <w:rFonts w:hint="eastAsia" w:ascii="宋体" w:hAnsi="宋体" w:eastAsia="宋体"/>
        </w:rPr>
        <w:t>承包商综合性总体业绩评价结果作为承包商续聘的依据。</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黑体" w:eastAsia="黑体" w:cs="黑体"/>
          <w:color w:val="000000"/>
          <w:kern w:val="0"/>
          <w:szCs w:val="20"/>
          <w:u w:color="000000"/>
        </w:rPr>
        <w:t xml:space="preserve">5.6.6 </w:t>
      </w:r>
      <w:r>
        <w:rPr>
          <w:rFonts w:hint="eastAsia" w:ascii="宋体" w:hAnsi="宋体" w:eastAsia="宋体"/>
        </w:rPr>
        <w:t>企业应建立合格承包商名录。</w:t>
      </w:r>
    </w:p>
    <w:p>
      <w:pPr>
        <w:widowControl/>
        <w:autoSpaceDE w:val="0"/>
        <w:autoSpaceDN w:val="0"/>
        <w:spacing w:before="156" w:beforeLines="50" w:after="156" w:afterLines="50"/>
        <w:ind w:firstLine="420" w:firstLineChars="200"/>
        <w:rPr>
          <w:rFonts w:ascii="黑体" w:hAnsi="宋体" w:eastAsia="黑体"/>
        </w:rPr>
      </w:pPr>
      <w:r>
        <w:rPr>
          <w:rFonts w:hint="eastAsia" w:ascii="黑体" w:hAnsi="宋体" w:eastAsia="黑体"/>
        </w:rPr>
        <w:t>5.7</w:t>
      </w:r>
      <w:r>
        <w:rPr>
          <w:rFonts w:ascii="黑体" w:hAnsi="宋体" w:eastAsia="黑体"/>
        </w:rPr>
        <w:t> </w:t>
      </w:r>
      <w:r>
        <w:rPr>
          <w:rFonts w:hint="eastAsia" w:ascii="黑体" w:hAnsi="宋体" w:eastAsia="黑体"/>
        </w:rPr>
        <w:t>记录与保存</w:t>
      </w:r>
      <w:r>
        <w:rPr>
          <w:rFonts w:ascii="黑体" w:hAnsi="宋体" w:eastAsia="黑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5.7.1 </w:t>
      </w:r>
      <w:r>
        <w:rPr>
          <w:rFonts w:hint="eastAsia" w:ascii="宋体" w:hAnsi="宋体" w:eastAsia="宋体"/>
        </w:rPr>
        <w:t>预审资质审查资料、合同及安全协议、综合性总体业绩评价等档案资料，由企业长期保存。年度审核资料应有各专业主管部门分别按照专业分工保存。</w:t>
      </w:r>
      <w:r>
        <w:rPr>
          <w:rFonts w:ascii="宋体" w:hAnsi="宋体" w:eastAsia="宋体"/>
        </w:rPr>
        <w:t> </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5.7.2 </w:t>
      </w:r>
      <w:r>
        <w:rPr>
          <w:rFonts w:hint="eastAsia" w:ascii="宋体" w:hAnsi="宋体" w:eastAsia="宋体"/>
        </w:rPr>
        <w:t>签定的合同及安全协议由项目责任部门、安全管理部门存留复印件，用于日常</w:t>
      </w:r>
    </w:p>
    <w:p>
      <w:pPr>
        <w:widowControl/>
        <w:autoSpaceDE w:val="0"/>
        <w:autoSpaceDN w:val="0"/>
        <w:spacing w:before="156" w:beforeLines="50" w:after="156" w:afterLines="50"/>
        <w:jc w:val="left"/>
        <w:rPr>
          <w:rFonts w:ascii="宋体" w:hAnsi="宋体" w:eastAsia="宋体"/>
        </w:rPr>
      </w:pPr>
      <w:r>
        <w:rPr>
          <w:rFonts w:hint="eastAsia" w:ascii="宋体" w:hAnsi="宋体" w:eastAsia="宋体"/>
        </w:rPr>
        <w:t>管理。</w:t>
      </w:r>
    </w:p>
    <w:p>
      <w:pPr>
        <w:widowControl/>
        <w:autoSpaceDE w:val="0"/>
        <w:autoSpaceDN w:val="0"/>
        <w:spacing w:before="156" w:beforeLines="50" w:after="156" w:afterLines="50"/>
        <w:ind w:firstLine="420" w:firstLineChars="200"/>
        <w:rPr>
          <w:rFonts w:ascii="宋体" w:hAnsi="宋体" w:eastAsia="宋体"/>
        </w:rPr>
      </w:pPr>
      <w:r>
        <w:rPr>
          <w:rFonts w:hint="eastAsia" w:ascii="黑体" w:hAnsi="黑体" w:eastAsia="黑体" w:cs="黑体"/>
          <w:color w:val="000000"/>
          <w:kern w:val="0"/>
          <w:szCs w:val="20"/>
          <w:u w:color="000000"/>
        </w:rPr>
        <w:t xml:space="preserve">5.7.3 </w:t>
      </w:r>
      <w:r>
        <w:rPr>
          <w:rFonts w:hint="eastAsia" w:ascii="宋体" w:hAnsi="宋体" w:eastAsia="宋体"/>
        </w:rPr>
        <w:t>承包商培训、检查、问题整改、考核等相关记录，由企业安全管理部门保存。</w:t>
      </w: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widowControl/>
        <w:autoSpaceDE w:val="0"/>
        <w:autoSpaceDN w:val="0"/>
        <w:spacing w:before="156" w:beforeLines="50" w:after="156" w:afterLines="50"/>
        <w:ind w:firstLine="420" w:firstLineChars="200"/>
        <w:rPr>
          <w:rFonts w:ascii="宋体" w:hAnsi="宋体" w:eastAsia="宋体"/>
        </w:rPr>
      </w:pPr>
    </w:p>
    <w:p>
      <w:pPr>
        <w:keepNext/>
        <w:keepLines/>
        <w:widowControl/>
        <w:jc w:val="center"/>
        <w:outlineLvl w:val="0"/>
        <w:rPr>
          <w:rFonts w:ascii="黑体" w:hAnsi="Calibri" w:eastAsia="黑体" w:cs="Times New Roman"/>
          <w:bCs/>
          <w:kern w:val="44"/>
          <w:szCs w:val="21"/>
          <w:u w:color="000000"/>
        </w:rPr>
      </w:pPr>
      <w:r>
        <w:rPr>
          <w:rFonts w:hint="eastAsia" w:ascii="黑体" w:hAnsi="Calibri" w:eastAsia="黑体" w:cs="Times New Roman"/>
          <w:bCs/>
          <w:kern w:val="44"/>
          <w:szCs w:val="21"/>
          <w:u w:color="000000"/>
        </w:rPr>
        <w:t>附录A</w:t>
      </w:r>
    </w:p>
    <w:p>
      <w:pPr>
        <w:keepNext/>
        <w:keepLines/>
        <w:widowControl/>
        <w:jc w:val="center"/>
        <w:outlineLvl w:val="0"/>
        <w:rPr>
          <w:rFonts w:ascii="黑体" w:hAnsi="Calibri" w:eastAsia="黑体" w:cs="Times New Roman"/>
          <w:bCs/>
          <w:kern w:val="44"/>
          <w:szCs w:val="21"/>
          <w:u w:color="000000"/>
        </w:rPr>
      </w:pPr>
      <w:r>
        <w:rPr>
          <w:rFonts w:hint="eastAsia" w:ascii="黑体" w:hAnsi="Calibri" w:eastAsia="黑体" w:cs="Times New Roman"/>
          <w:bCs/>
          <w:kern w:val="44"/>
          <w:szCs w:val="21"/>
          <w:u w:color="000000"/>
        </w:rPr>
        <w:t>（资料性）</w:t>
      </w:r>
    </w:p>
    <w:p>
      <w:pPr>
        <w:keepNext/>
        <w:keepLines/>
        <w:widowControl/>
        <w:jc w:val="center"/>
        <w:outlineLvl w:val="0"/>
        <w:rPr>
          <w:rFonts w:ascii="黑体" w:hAnsi="Calibri" w:eastAsia="黑体" w:cs="Times New Roman"/>
          <w:bCs/>
          <w:kern w:val="44"/>
          <w:szCs w:val="21"/>
          <w:u w:color="000000"/>
        </w:rPr>
      </w:pPr>
      <w:r>
        <w:rPr>
          <w:rFonts w:hint="eastAsia" w:ascii="黑体" w:hAnsi="Calibri" w:eastAsia="黑体" w:cs="Times New Roman"/>
          <w:bCs/>
          <w:kern w:val="44"/>
          <w:szCs w:val="21"/>
          <w:u w:color="000000"/>
        </w:rPr>
        <w:t>承包商风险评估表</w:t>
      </w:r>
    </w:p>
    <w:tbl>
      <w:tblPr>
        <w:tblStyle w:val="6"/>
        <w:tblpPr w:leftFromText="180" w:rightFromText="180" w:vertAnchor="page" w:horzAnchor="margin" w:tblpXSpec="center" w:tblpY="315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61"/>
        <w:gridCol w:w="1124"/>
        <w:gridCol w:w="1129"/>
        <w:gridCol w:w="563"/>
        <w:gridCol w:w="519"/>
        <w:gridCol w:w="867"/>
        <w:gridCol w:w="117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填写日期：</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年</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月</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日</w:t>
            </w:r>
            <w:r>
              <w:rPr>
                <w:rFonts w:ascii="Calibri" w:hAnsi="Calibri" w:eastAsia="宋体" w:cs="Times New Roman"/>
                <w:color w:val="000000"/>
                <w:kern w:val="0"/>
                <w:szCs w:val="20"/>
                <w:u w:color="000000"/>
              </w:rPr>
              <w:t xml:space="preserve">                                </w:t>
            </w:r>
            <w:r>
              <w:rPr>
                <w:rFonts w:hint="eastAsia" w:ascii="Calibri" w:hAnsi="Calibri" w:eastAsia="宋体" w:cs="Times New Roman"/>
                <w:color w:val="000000"/>
                <w:kern w:val="0"/>
                <w:szCs w:val="20"/>
                <w:u w:color="000000"/>
              </w:rPr>
              <w:t>本表填写人：</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一、</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承包商基本信息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347"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公司名称</w:t>
            </w:r>
          </w:p>
        </w:tc>
        <w:tc>
          <w:tcPr>
            <w:tcW w:w="1885"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公司地址</w:t>
            </w:r>
          </w:p>
        </w:tc>
        <w:tc>
          <w:tcPr>
            <w:tcW w:w="1949"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174"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电</w:t>
            </w:r>
            <w:r>
              <w:rPr>
                <w:rFonts w:ascii="Calibri" w:hAnsi="Calibri" w:eastAsia="宋体" w:cs="Times New Roman"/>
                <w:color w:val="000000"/>
                <w:kern w:val="0"/>
                <w:szCs w:val="20"/>
                <w:u w:color="000000"/>
              </w:rPr>
              <w:t xml:space="preserve">  </w:t>
            </w:r>
            <w:r>
              <w:rPr>
                <w:rFonts w:hint="eastAsia" w:ascii="Calibri" w:hAnsi="Calibri" w:eastAsia="宋体" w:cs="Times New Roman"/>
                <w:color w:val="000000"/>
                <w:kern w:val="0"/>
                <w:szCs w:val="20"/>
                <w:u w:color="000000"/>
              </w:rPr>
              <w:t>话</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7"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法人代表</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124"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联系方式</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项目经理</w:t>
            </w:r>
          </w:p>
        </w:tc>
        <w:tc>
          <w:tcPr>
            <w:tcW w:w="867"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174"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联系方式</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公司成立时间</w:t>
            </w:r>
          </w:p>
        </w:tc>
        <w:tc>
          <w:tcPr>
            <w:tcW w:w="3014"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4678" w:type="dxa"/>
            <w:gridSpan w:val="5"/>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经营形式：</w:t>
            </w:r>
            <w:r>
              <w:rPr>
                <w:rFonts w:ascii="Calibri" w:hAnsi="Calibri" w:eastAsia="宋体" w:cs="Times New Roman"/>
                <w:color w:val="000000"/>
                <w:kern w:val="0"/>
                <w:szCs w:val="20"/>
                <w:u w:color="000000"/>
              </w:rPr>
              <w:t xml:space="preserve">   </w:t>
            </w:r>
            <w:r>
              <w:rPr>
                <w:rFonts w:hint="eastAsia" w:ascii="Calibri" w:hAnsi="Calibri" w:eastAsia="宋体" w:cs="Times New Roman"/>
                <w:color w:val="000000"/>
                <w:kern w:val="0"/>
                <w:szCs w:val="20"/>
                <w:u w:color="000000"/>
              </w:rPr>
              <w:t>□私营企业</w:t>
            </w:r>
            <w:r>
              <w:rPr>
                <w:rFonts w:ascii="Calibri" w:hAnsi="Calibri" w:eastAsia="宋体" w:cs="Times New Roman"/>
                <w:color w:val="000000"/>
                <w:kern w:val="0"/>
                <w:szCs w:val="20"/>
                <w:u w:color="000000"/>
              </w:rPr>
              <w:t>  /  </w:t>
            </w:r>
            <w:r>
              <w:rPr>
                <w:rFonts w:hint="eastAsia" w:ascii="Calibri" w:hAnsi="Calibri" w:eastAsia="宋体" w:cs="Times New Roman"/>
                <w:color w:val="000000"/>
                <w:kern w:val="0"/>
                <w:szCs w:val="20"/>
                <w:u w:color="000000"/>
              </w:rPr>
              <w:t>□集体企业</w:t>
            </w:r>
            <w:r>
              <w:rPr>
                <w:rFonts w:ascii="Calibri" w:hAnsi="Calibri" w:eastAsia="宋体" w:cs="Times New Roman"/>
                <w:color w:val="000000"/>
                <w:kern w:val="0"/>
                <w:szCs w:val="20"/>
                <w:u w:color="000000"/>
              </w:rPr>
              <w:t>  / </w:t>
            </w:r>
          </w:p>
          <w:p>
            <w:pPr>
              <w:widowControl/>
              <w:spacing w:line="357" w:lineRule="atLeast"/>
              <w:ind w:firstLine="1260" w:firstLineChars="600"/>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□国有企业</w:t>
            </w:r>
            <w:r>
              <w:rPr>
                <w:rFonts w:ascii="Calibri" w:hAnsi="Calibri" w:eastAsia="宋体" w:cs="Times New Roman"/>
                <w:color w:val="000000"/>
                <w:kern w:val="0"/>
                <w:szCs w:val="20"/>
                <w:u w:color="000000"/>
              </w:rPr>
              <w:t>  /  </w:t>
            </w:r>
            <w:r>
              <w:rPr>
                <w:rFonts w:hint="eastAsia" w:ascii="Calibri" w:hAnsi="Calibri" w:eastAsia="宋体" w:cs="Times New Roman"/>
                <w:color w:val="000000"/>
                <w:kern w:val="0"/>
                <w:szCs w:val="20"/>
                <w:u w:color="00000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347"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营业执照编号</w:t>
            </w:r>
          </w:p>
        </w:tc>
        <w:tc>
          <w:tcPr>
            <w:tcW w:w="3014"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E-Mail</w:t>
            </w:r>
            <w:r>
              <w:rPr>
                <w:rFonts w:hint="eastAsia" w:ascii="Calibri" w:hAnsi="Calibri" w:eastAsia="宋体" w:cs="Times New Roman"/>
                <w:color w:val="000000"/>
                <w:kern w:val="0"/>
                <w:szCs w:val="20"/>
                <w:u w:color="000000"/>
              </w:rPr>
              <w:t>地址</w:t>
            </w:r>
          </w:p>
        </w:tc>
        <w:tc>
          <w:tcPr>
            <w:tcW w:w="867"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174"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传真电话</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拟在企业范围内从事的工程</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项目描述</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不得超出营业范围</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承包商满足其生产经营活动要求的营业执照、资质证书、许可证、法人资格证书、特种</w:t>
            </w:r>
          </w:p>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作业操作证等证书是否齐全有效：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承包商提供将参加本项目安全管理组织机构图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承包商参加本项目施工的项目负责人、工程技术人员和作业人员的安全施工技术素质是否满足工程的要求</w:t>
            </w:r>
          </w:p>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承包商能满足本项目的主要施工机械设备清单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投保信息</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提供保险公司开具的投保发票</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是否为作业人员提供工伤保险和意外伤害保险：</w:t>
            </w:r>
            <w:r>
              <w:rPr>
                <w:rFonts w:ascii="Calibri" w:hAnsi="Calibri" w:eastAsia="宋体" w:cs="Times New Roman"/>
                <w:color w:val="000000"/>
                <w:kern w:val="0"/>
                <w:szCs w:val="20"/>
                <w:u w:color="000000"/>
              </w:rPr>
              <w:t xml:space="preserve">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是</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否</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人员及设备风险投保名称</w:t>
            </w:r>
          </w:p>
        </w:tc>
        <w:tc>
          <w:tcPr>
            <w:tcW w:w="3078" w:type="dxa"/>
            <w:gridSpan w:val="4"/>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保险公司</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3078" w:type="dxa"/>
            <w:gridSpan w:val="4"/>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3078" w:type="dxa"/>
            <w:gridSpan w:val="4"/>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三、承包商施工业绩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过去三年完成的主要项目：（可另附）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项目业绩单位</w:t>
            </w:r>
          </w:p>
        </w:tc>
        <w:tc>
          <w:tcPr>
            <w:tcW w:w="169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项目名称</w:t>
            </w:r>
          </w:p>
        </w:tc>
        <w:tc>
          <w:tcPr>
            <w:tcW w:w="1386"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合同金额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2"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四、安全健康环保业绩</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承包商近三年的安全年报表</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已经提供</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尚未提供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过去三年是否发生不安全事件、事故：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16. </w:t>
            </w:r>
            <w:r>
              <w:rPr>
                <w:rFonts w:hint="eastAsia" w:ascii="Calibri" w:hAnsi="Calibri" w:eastAsia="宋体" w:cs="Times New Roman"/>
                <w:color w:val="000000"/>
                <w:kern w:val="0"/>
                <w:szCs w:val="20"/>
                <w:u w:color="000000"/>
              </w:rPr>
              <w:t>过去三年是否获得的安全方面的奖励</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附奖励证书复印件</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p>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五、安全环保体系管理</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承包商是否有安全环保管理体系文件</w:t>
            </w:r>
            <w:r>
              <w:rPr>
                <w:rFonts w:ascii="Calibri" w:hAnsi="Calibri" w:eastAsia="宋体" w:cs="Times New Roman"/>
                <w:color w:val="000000"/>
                <w:kern w:val="0"/>
                <w:szCs w:val="20"/>
                <w:u w:color="000000"/>
              </w:rPr>
              <w:t xml:space="preserve">? 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是</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该体系是否通过国家资质机构的认证</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是</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六、应提交的资料与文件说明：</w:t>
            </w:r>
            <w:r>
              <w:rPr>
                <w:rFonts w:ascii="Calibri" w:hAnsi="Calibri" w:eastAsia="宋体" w:cs="Times New Roman"/>
                <w:color w:val="000000"/>
                <w:kern w:val="0"/>
                <w:szCs w:val="20"/>
                <w:u w:color="000000"/>
              </w:rPr>
              <w:t> </w:t>
            </w:r>
          </w:p>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汇总上述应提交的内容，在提交的各项资料前注明上述对应的序号，并与本表一同报企业项目责任部门（安全管理部门）相关专业负责人审核，合格资料报企业存档。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七、资格预审评估</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审核发现的问题：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9"/>
            <w:tcBorders>
              <w:top w:val="single" w:color="auto" w:sz="4" w:space="0"/>
              <w:left w:val="single" w:color="auto" w:sz="4" w:space="0"/>
              <w:bottom w:val="single" w:color="auto" w:sz="4" w:space="0"/>
              <w:right w:val="single" w:color="auto" w:sz="4" w:space="0"/>
            </w:tcBorders>
            <w:vAlign w:val="center"/>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审核结论：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gridSpan w:val="9"/>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审核人签字：</w:t>
            </w:r>
            <w:r>
              <w:rPr>
                <w:rFonts w:ascii="Calibri" w:hAnsi="Calibri" w:eastAsia="宋体" w:cs="Times New Roman"/>
                <w:color w:val="000000"/>
                <w:kern w:val="0"/>
                <w:szCs w:val="20"/>
                <w:u w:color="000000"/>
              </w:rPr>
              <w:t>          </w:t>
            </w:r>
          </w:p>
          <w:p>
            <w:pPr>
              <w:widowControl/>
              <w:spacing w:line="357" w:lineRule="atLeas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p>
          <w:p>
            <w:pPr>
              <w:widowControl/>
              <w:spacing w:line="357" w:lineRule="atLeast"/>
              <w:ind w:firstLine="5670" w:firstLineChars="2700"/>
              <w:rPr>
                <w:rFonts w:ascii="Calibri" w:hAnsi="Calibri" w:eastAsia="宋体" w:cs="Times New Roman"/>
                <w:color w:val="000000"/>
                <w:kern w:val="0"/>
                <w:szCs w:val="20"/>
                <w:u w:color="000000"/>
              </w:rPr>
            </w:pPr>
          </w:p>
          <w:p>
            <w:pPr>
              <w:widowControl/>
              <w:spacing w:line="357" w:lineRule="atLeast"/>
              <w:ind w:firstLine="5670" w:firstLineChars="2700"/>
              <w:rPr>
                <w:rFonts w:ascii="Calibri" w:hAnsi="Calibri" w:eastAsia="宋体" w:cs="Times New Roman"/>
                <w:color w:val="000000"/>
                <w:kern w:val="0"/>
                <w:szCs w:val="20"/>
                <w:u w:color="000000"/>
              </w:rPr>
            </w:pPr>
          </w:p>
          <w:p>
            <w:pPr>
              <w:widowControl/>
              <w:spacing w:line="357" w:lineRule="atLeast"/>
              <w:ind w:firstLine="5670" w:firstLineChars="2700"/>
              <w:rPr>
                <w:rFonts w:ascii="Calibri" w:hAnsi="Calibri" w:eastAsia="宋体" w:cs="Times New Roman"/>
                <w:color w:val="000000"/>
                <w:kern w:val="0"/>
                <w:szCs w:val="20"/>
                <w:u w:color="000000"/>
              </w:rPr>
            </w:pPr>
          </w:p>
          <w:p>
            <w:pPr>
              <w:widowControl/>
              <w:spacing w:line="357" w:lineRule="atLeast"/>
              <w:jc w:val="righ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审核日期：</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年</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月</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日</w:t>
            </w:r>
          </w:p>
        </w:tc>
      </w:tr>
    </w:tbl>
    <w:p>
      <w:pPr>
        <w:widowControl/>
        <w:spacing w:line="357" w:lineRule="atLeast"/>
        <w:rPr>
          <w:rFonts w:ascii="Calibri" w:hAnsi="Calibri" w:eastAsia="宋体" w:cs="Times New Roman"/>
          <w:color w:val="000000"/>
          <w:kern w:val="0"/>
          <w:sz w:val="32"/>
          <w:szCs w:val="32"/>
          <w:u w:color="000000"/>
        </w:rPr>
      </w:pPr>
    </w:p>
    <w:p>
      <w:pPr>
        <w:widowControl/>
        <w:spacing w:line="357" w:lineRule="atLeast"/>
        <w:rPr>
          <w:rFonts w:ascii="Calibri" w:hAnsi="Calibri" w:eastAsia="宋体" w:cs="Times New Roman"/>
          <w:color w:val="000000"/>
          <w:kern w:val="0"/>
          <w:sz w:val="32"/>
          <w:szCs w:val="32"/>
          <w:u w:color="000000"/>
        </w:rPr>
      </w:pPr>
    </w:p>
    <w:p>
      <w:pPr>
        <w:keepNext/>
        <w:keepLines/>
        <w:widowControl/>
        <w:jc w:val="center"/>
        <w:outlineLvl w:val="0"/>
        <w:rPr>
          <w:rFonts w:ascii="黑体" w:hAnsi="Calibri" w:eastAsia="黑体" w:cs="Times New Roman"/>
          <w:bCs/>
          <w:kern w:val="44"/>
          <w:szCs w:val="21"/>
          <w:u w:color="000000"/>
        </w:rPr>
      </w:pPr>
      <w:r>
        <w:rPr>
          <w:rFonts w:hint="eastAsia" w:ascii="黑体" w:hAnsi="Calibri" w:eastAsia="黑体" w:cs="Times New Roman"/>
          <w:bCs/>
          <w:kern w:val="44"/>
          <w:szCs w:val="21"/>
          <w:u w:color="000000"/>
        </w:rPr>
        <w:t>附录B</w:t>
      </w:r>
    </w:p>
    <w:p>
      <w:pPr>
        <w:keepNext/>
        <w:keepLines/>
        <w:widowControl/>
        <w:jc w:val="center"/>
        <w:outlineLvl w:val="0"/>
        <w:rPr>
          <w:rFonts w:ascii="黑体" w:hAnsi="Calibri" w:eastAsia="黑体" w:cs="Times New Roman"/>
          <w:bCs/>
          <w:kern w:val="44"/>
          <w:szCs w:val="21"/>
          <w:u w:color="000000"/>
        </w:rPr>
      </w:pPr>
      <w:r>
        <w:rPr>
          <w:rFonts w:hint="eastAsia" w:ascii="黑体" w:hAnsi="Calibri" w:eastAsia="黑体" w:cs="Times New Roman"/>
          <w:bCs/>
          <w:kern w:val="44"/>
          <w:szCs w:val="21"/>
          <w:u w:color="000000"/>
        </w:rPr>
        <w:t>（资料性）</w:t>
      </w:r>
    </w:p>
    <w:p>
      <w:pPr>
        <w:keepNext/>
        <w:keepLines/>
        <w:widowControl/>
        <w:jc w:val="center"/>
        <w:outlineLvl w:val="0"/>
        <w:rPr>
          <w:rFonts w:hint="eastAsia" w:ascii="黑体" w:hAnsi="Calibri" w:eastAsia="黑体" w:cs="Times New Roman"/>
          <w:bCs/>
          <w:kern w:val="44"/>
          <w:szCs w:val="21"/>
          <w:u w:color="000000"/>
        </w:rPr>
      </w:pPr>
      <w:r>
        <w:rPr>
          <w:rFonts w:hint="eastAsia" w:ascii="黑体" w:hAnsi="Calibri" w:eastAsia="黑体" w:cs="Times New Roman"/>
          <w:bCs/>
          <w:kern w:val="44"/>
          <w:szCs w:val="21"/>
          <w:u w:color="000000"/>
        </w:rPr>
        <w:t>承包商安全业绩评价表</w:t>
      </w:r>
    </w:p>
    <w:p>
      <w:pPr>
        <w:keepNext/>
        <w:keepLines/>
        <w:widowControl/>
        <w:jc w:val="center"/>
        <w:outlineLvl w:val="0"/>
        <w:rPr>
          <w:rFonts w:hint="eastAsia" w:ascii="黑体" w:hAnsi="Calibri" w:eastAsia="黑体" w:cs="Times New Roman"/>
          <w:bCs/>
          <w:kern w:val="44"/>
          <w:szCs w:val="21"/>
          <w:u w:color="00000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818"/>
        <w:gridCol w:w="20"/>
        <w:gridCol w:w="468"/>
        <w:gridCol w:w="2138"/>
        <w:gridCol w:w="105"/>
        <w:gridCol w:w="5"/>
        <w:gridCol w:w="1039"/>
        <w:gridCol w:w="369"/>
        <w:gridCol w:w="1023"/>
        <w:gridCol w:w="71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gridSpan w:val="2"/>
            <w:tcBorders>
              <w:top w:val="single" w:color="auto" w:sz="4" w:space="0"/>
              <w:left w:val="single" w:color="auto" w:sz="4" w:space="0"/>
              <w:bottom w:val="single" w:color="auto" w:sz="4" w:space="0"/>
              <w:right w:val="single" w:color="auto" w:sz="4" w:space="0"/>
            </w:tcBorders>
          </w:tcPr>
          <w:p>
            <w:pPr>
              <w:widowControl/>
              <w:spacing w:line="357" w:lineRule="atLeast"/>
              <w:ind w:firstLine="210" w:firstLineChars="100"/>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承包商名称</w:t>
            </w:r>
          </w:p>
        </w:tc>
        <w:tc>
          <w:tcPr>
            <w:tcW w:w="262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149"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合同编号</w:t>
            </w:r>
          </w:p>
        </w:tc>
        <w:tc>
          <w:tcPr>
            <w:tcW w:w="3137" w:type="dxa"/>
            <w:gridSpan w:val="4"/>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服务类别</w:t>
            </w:r>
          </w:p>
        </w:tc>
        <w:tc>
          <w:tcPr>
            <w:tcW w:w="7730" w:type="dxa"/>
            <w:gridSpan w:val="11"/>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□基建施工；□设备类检修、改造工程施工；□设施类检修、改造工程施工；□巡检维护服务；□安装服务；□设计服务；□监理服务；□劳务服务；□咨询服务；□其它：</w:t>
            </w:r>
            <w:r>
              <w:rPr>
                <w:rFonts w:ascii="Calibri" w:hAnsi="Calibri" w:eastAsia="宋体" w:cs="Times New Roman"/>
                <w:color w:val="000000"/>
                <w:kern w:val="0"/>
                <w:szCs w:val="20"/>
                <w:u w:color="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项目开始时间</w:t>
            </w:r>
          </w:p>
        </w:tc>
        <w:tc>
          <w:tcPr>
            <w:tcW w:w="2711"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项目结束时间</w:t>
            </w:r>
          </w:p>
        </w:tc>
        <w:tc>
          <w:tcPr>
            <w:tcW w:w="2768"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评价时</w:t>
            </w:r>
            <w:r>
              <w:rPr>
                <w:rFonts w:ascii="Calibri" w:hAnsi="Calibri" w:eastAsia="宋体" w:cs="Times New Roman"/>
                <w:color w:val="000000"/>
                <w:kern w:val="0"/>
                <w:szCs w:val="20"/>
                <w:u w:color="000000"/>
              </w:rPr>
              <w:t xml:space="preserve"> </w:t>
            </w:r>
            <w:r>
              <w:rPr>
                <w:rFonts w:hint="eastAsia" w:ascii="Calibri" w:hAnsi="Calibri" w:eastAsia="宋体" w:cs="Times New Roman"/>
                <w:color w:val="000000"/>
                <w:kern w:val="0"/>
                <w:szCs w:val="20"/>
                <w:u w:color="000000"/>
              </w:rPr>
              <w:t>间</w:t>
            </w:r>
          </w:p>
        </w:tc>
        <w:tc>
          <w:tcPr>
            <w:tcW w:w="2716" w:type="dxa"/>
            <w:gridSpan w:val="4"/>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2431"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评价人员</w:t>
            </w:r>
          </w:p>
        </w:tc>
        <w:tc>
          <w:tcPr>
            <w:tcW w:w="1745" w:type="dxa"/>
            <w:gridSpan w:val="2"/>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序号</w:t>
            </w:r>
          </w:p>
        </w:tc>
        <w:tc>
          <w:tcPr>
            <w:tcW w:w="1306" w:type="dxa"/>
            <w:gridSpan w:val="3"/>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评价项目</w:t>
            </w:r>
          </w:p>
        </w:tc>
        <w:tc>
          <w:tcPr>
            <w:tcW w:w="3656" w:type="dxa"/>
            <w:gridSpan w:val="5"/>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评价标准</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控制</w:t>
            </w:r>
          </w:p>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分数</w:t>
            </w:r>
          </w:p>
        </w:tc>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扣分</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扣分事项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合同履行能力</w:t>
            </w:r>
            <w:r>
              <w:rPr>
                <w:rFonts w:ascii="Calibri" w:hAnsi="Calibri" w:eastAsia="宋体" w:cs="Times New Roman"/>
                <w:color w:val="000000"/>
                <w:kern w:val="0"/>
                <w:szCs w:val="20"/>
                <w:u w:color="000000"/>
              </w:rPr>
              <w:t xml:space="preserve">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施工合同履行不满足要求的，每发生一次酌情扣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2</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质量保障能力</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施工质量不满足要求的，每发生一次酌情扣</w:t>
            </w:r>
            <w:r>
              <w:rPr>
                <w:rFonts w:ascii="Calibri" w:hAnsi="Calibri" w:eastAsia="宋体" w:cs="Times New Roman"/>
                <w:color w:val="000000"/>
                <w:kern w:val="0"/>
                <w:szCs w:val="20"/>
                <w:u w:color="000000"/>
              </w:rPr>
              <w:t>2—5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3 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施工进度控制</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施工进度不满足要求的，每发生一次酌情扣</w:t>
            </w:r>
            <w:r>
              <w:rPr>
                <w:rFonts w:ascii="Calibri" w:hAnsi="Calibri" w:eastAsia="宋体" w:cs="Times New Roman"/>
                <w:color w:val="000000"/>
                <w:kern w:val="0"/>
                <w:szCs w:val="20"/>
                <w:u w:color="000000"/>
              </w:rPr>
              <w:t>1—3</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安全管理制度</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安全管理制度不健全或落实不到位的，每发生一次酌情扣</w:t>
            </w:r>
            <w:r>
              <w:rPr>
                <w:rFonts w:ascii="Calibri" w:hAnsi="Calibri" w:eastAsia="宋体" w:cs="Times New Roman"/>
                <w:color w:val="000000"/>
                <w:kern w:val="0"/>
                <w:szCs w:val="20"/>
                <w:u w:color="000000"/>
              </w:rPr>
              <w:t>1—3</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5 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人身、设备风</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险控制</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发生人身轻伤扣</w:t>
            </w:r>
            <w:r>
              <w:rPr>
                <w:rFonts w:ascii="Calibri" w:hAnsi="Calibri" w:eastAsia="宋体" w:cs="Times New Roman"/>
                <w:color w:val="000000"/>
                <w:kern w:val="0"/>
                <w:szCs w:val="20"/>
                <w:u w:color="000000"/>
              </w:rPr>
              <w:t>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次，人身重伤扣</w:t>
            </w:r>
            <w:r>
              <w:rPr>
                <w:rFonts w:ascii="Calibri" w:hAnsi="Calibri" w:eastAsia="宋体" w:cs="Times New Roman"/>
                <w:color w:val="000000"/>
                <w:kern w:val="0"/>
                <w:szCs w:val="20"/>
                <w:u w:color="000000"/>
              </w:rPr>
              <w:t>5—20</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次，人身死亡扣</w:t>
            </w:r>
            <w:r>
              <w:rPr>
                <w:rFonts w:ascii="Calibri" w:hAnsi="Calibri" w:eastAsia="宋体" w:cs="Times New Roman"/>
                <w:color w:val="000000"/>
                <w:kern w:val="0"/>
                <w:szCs w:val="20"/>
                <w:u w:color="000000"/>
              </w:rPr>
              <w:t>20—40</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次。发生有责任的一类障碍扣</w:t>
            </w:r>
            <w:r>
              <w:rPr>
                <w:rFonts w:ascii="Calibri" w:hAnsi="Calibri" w:eastAsia="宋体" w:cs="Times New Roman"/>
                <w:color w:val="000000"/>
                <w:kern w:val="0"/>
                <w:szCs w:val="20"/>
                <w:u w:color="000000"/>
              </w:rPr>
              <w:t>10</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次，一般事故扣</w:t>
            </w:r>
            <w:r>
              <w:rPr>
                <w:rFonts w:ascii="Calibri" w:hAnsi="Calibri" w:eastAsia="宋体" w:cs="Times New Roman"/>
                <w:color w:val="000000"/>
                <w:kern w:val="0"/>
                <w:szCs w:val="20"/>
                <w:u w:color="000000"/>
              </w:rPr>
              <w:t>20</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次，重大及以上事故扣</w:t>
            </w:r>
            <w:r>
              <w:rPr>
                <w:rFonts w:ascii="Calibri" w:hAnsi="Calibri" w:eastAsia="宋体" w:cs="Times New Roman"/>
                <w:color w:val="000000"/>
                <w:kern w:val="0"/>
                <w:szCs w:val="20"/>
                <w:u w:color="000000"/>
              </w:rPr>
              <w:t>20—40/</w:t>
            </w:r>
            <w:r>
              <w:rPr>
                <w:rFonts w:hint="eastAsia" w:ascii="Calibri" w:hAnsi="Calibri" w:eastAsia="宋体" w:cs="Times New Roman"/>
                <w:color w:val="000000"/>
                <w:kern w:val="0"/>
                <w:szCs w:val="20"/>
                <w:u w:color="000000"/>
              </w:rPr>
              <w:t>次。</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30 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6</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工作许可手续及作业管理能力</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安全技术交底、工作票、进站审批、施工方案审批、监理单位批准、政府许可等不全或未按规定办理即开工或进入现场的每项次扣</w:t>
            </w:r>
            <w:r>
              <w:rPr>
                <w:rFonts w:ascii="Calibri" w:hAnsi="Calibri" w:eastAsia="宋体" w:cs="Times New Roman"/>
                <w:color w:val="000000"/>
                <w:kern w:val="0"/>
                <w:szCs w:val="20"/>
                <w:u w:color="000000"/>
              </w:rPr>
              <w:t>3-5</w:t>
            </w:r>
            <w:r>
              <w:rPr>
                <w:rFonts w:hint="eastAsia" w:ascii="Calibri" w:hAnsi="Calibri" w:eastAsia="宋体" w:cs="Times New Roman"/>
                <w:color w:val="000000"/>
                <w:kern w:val="0"/>
                <w:szCs w:val="20"/>
                <w:u w:color="000000"/>
              </w:rPr>
              <w:t>分；作业管理能力不符合要求的，每发生一次酌情扣</w:t>
            </w:r>
            <w:r>
              <w:rPr>
                <w:rFonts w:ascii="Calibri" w:hAnsi="Calibri" w:eastAsia="宋体" w:cs="Times New Roman"/>
                <w:color w:val="000000"/>
                <w:kern w:val="0"/>
                <w:szCs w:val="20"/>
                <w:u w:color="000000"/>
              </w:rPr>
              <w:t>1—3</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20  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7</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管理层对安全生产的重视</w:t>
            </w:r>
            <w:r>
              <w:rPr>
                <w:rFonts w:ascii="Calibri" w:hAnsi="Calibri" w:eastAsia="宋体" w:cs="Times New Roman"/>
                <w:color w:val="000000"/>
                <w:kern w:val="0"/>
                <w:szCs w:val="20"/>
                <w:u w:color="000000"/>
              </w:rPr>
              <w:t> </w:t>
            </w:r>
          </w:p>
          <w:p>
            <w:pPr>
              <w:widowControl/>
              <w:spacing w:line="357" w:lineRule="atLeast"/>
              <w:rPr>
                <w:rFonts w:ascii="Calibri" w:hAnsi="Calibri" w:eastAsia="宋体" w:cs="Times New Roman"/>
                <w:color w:val="000000"/>
                <w:kern w:val="0"/>
                <w:szCs w:val="20"/>
                <w:u w:color="000000"/>
              </w:rPr>
            </w:pP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管理层未保证足够的安全投入、施工资源投入，未认真组织安全技术培训、定期进行安全检查、及时解决项目责任单位反映的问题的，每发生一次扣</w:t>
            </w:r>
            <w:r>
              <w:rPr>
                <w:rFonts w:ascii="Calibri" w:hAnsi="Calibri" w:eastAsia="宋体" w:cs="Times New Roman"/>
                <w:color w:val="000000"/>
                <w:kern w:val="0"/>
                <w:szCs w:val="20"/>
                <w:u w:color="000000"/>
              </w:rPr>
              <w:t>2—5</w:t>
            </w:r>
            <w:r>
              <w:rPr>
                <w:rFonts w:hint="eastAsia" w:ascii="Calibri" w:hAnsi="Calibri" w:eastAsia="宋体" w:cs="Times New Roman"/>
                <w:color w:val="000000"/>
                <w:kern w:val="0"/>
                <w:szCs w:val="20"/>
                <w:u w:color="000000"/>
              </w:rPr>
              <w:t>分。发生其他不重视安全生产的事项，酌情扣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xml:space="preserve">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8 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管理人员履</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职</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施工单位管理人员未认真履行职责、有效组织施工作业的，每发生一次酌情扣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9</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员工安全技术培训</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未按要求对作业人员进行安全技术培训的，每发生一次酌情扣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安全投入</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未按规定配置足够的安全工具、个人防护用品、安全管理人员的，每发生一次扣</w:t>
            </w:r>
            <w:r>
              <w:rPr>
                <w:rFonts w:ascii="Calibri" w:hAnsi="Calibri" w:eastAsia="宋体" w:cs="Times New Roman"/>
                <w:color w:val="000000"/>
                <w:kern w:val="0"/>
                <w:szCs w:val="20"/>
                <w:u w:color="000000"/>
              </w:rPr>
              <w:t>2—5</w:t>
            </w:r>
            <w:r>
              <w:rPr>
                <w:rFonts w:hint="eastAsia" w:ascii="Calibri" w:hAnsi="Calibri" w:eastAsia="宋体" w:cs="Times New Roman"/>
                <w:color w:val="000000"/>
                <w:kern w:val="0"/>
                <w:szCs w:val="20"/>
                <w:u w:color="000000"/>
              </w:rPr>
              <w:t>分。安全工器具、个人防护用品不符合作业需要或规程要求的，每发生一次扣</w:t>
            </w:r>
            <w:r>
              <w:rPr>
                <w:rFonts w:ascii="Calibri" w:hAnsi="Calibri" w:eastAsia="宋体" w:cs="Times New Roman"/>
                <w:color w:val="000000"/>
                <w:kern w:val="0"/>
                <w:szCs w:val="20"/>
                <w:u w:color="000000"/>
              </w:rPr>
              <w:t>2</w:t>
            </w:r>
            <w:r>
              <w:rPr>
                <w:rFonts w:hint="eastAsia" w:ascii="Calibri" w:hAnsi="Calibri" w:eastAsia="宋体" w:cs="Times New Roman"/>
                <w:color w:val="000000"/>
                <w:kern w:val="0"/>
                <w:szCs w:val="20"/>
                <w:u w:color="000000"/>
              </w:rPr>
              <w:t>分。发生其他安全投入不足的事项，酌情扣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15  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11 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施工资源投入</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未根据工作需要配置足够的人力资源、施工设备、工器具等资源的，每发生一次扣</w:t>
            </w:r>
            <w:r>
              <w:rPr>
                <w:rFonts w:ascii="Calibri" w:hAnsi="Calibri" w:eastAsia="宋体" w:cs="Times New Roman"/>
                <w:color w:val="000000"/>
                <w:kern w:val="0"/>
                <w:szCs w:val="20"/>
                <w:u w:color="000000"/>
              </w:rPr>
              <w:t>2—5</w:t>
            </w:r>
            <w:r>
              <w:rPr>
                <w:rFonts w:hint="eastAsia" w:ascii="Calibri" w:hAnsi="Calibri" w:eastAsia="宋体" w:cs="Times New Roman"/>
                <w:color w:val="000000"/>
                <w:kern w:val="0"/>
                <w:szCs w:val="20"/>
                <w:u w:color="000000"/>
              </w:rPr>
              <w:t>分。发生其他施工资源投入不足的事项，酌情扣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15 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12 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施工组织</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未按照施工方案、作业指导书进行现场作业及准备工具、材料、图纸资料等每项次扣</w:t>
            </w:r>
            <w:r>
              <w:rPr>
                <w:rFonts w:ascii="Calibri" w:hAnsi="Calibri" w:eastAsia="宋体" w:cs="Times New Roman"/>
                <w:color w:val="000000"/>
                <w:kern w:val="0"/>
                <w:szCs w:val="20"/>
                <w:u w:color="000000"/>
              </w:rPr>
              <w:t>3-5</w:t>
            </w:r>
            <w:r>
              <w:rPr>
                <w:rFonts w:hint="eastAsia" w:ascii="Calibri" w:hAnsi="Calibri" w:eastAsia="宋体" w:cs="Times New Roman"/>
                <w:color w:val="000000"/>
                <w:kern w:val="0"/>
                <w:szCs w:val="20"/>
                <w:u w:color="000000"/>
              </w:rPr>
              <w:t>分；未认真进行施工组织，施工准备不充分、现场勘查不到位、作业文</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件编制不结合实际的，每发生一次酌情扣</w:t>
            </w:r>
            <w:r>
              <w:rPr>
                <w:rFonts w:ascii="Calibri" w:hAnsi="Calibri" w:eastAsia="宋体" w:cs="Times New Roman"/>
                <w:color w:val="000000"/>
                <w:kern w:val="0"/>
                <w:szCs w:val="20"/>
                <w:u w:color="000000"/>
              </w:rPr>
              <w:t>2—5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 13 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现场安全设施的符合性</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现场安健环设施布置不符合要求或不满足作业需要的，每发生一次</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酌情扣</w:t>
            </w:r>
            <w:r>
              <w:rPr>
                <w:rFonts w:ascii="Calibri" w:hAnsi="Calibri" w:eastAsia="宋体" w:cs="Times New Roman"/>
                <w:color w:val="000000"/>
                <w:kern w:val="0"/>
                <w:szCs w:val="20"/>
                <w:u w:color="000000"/>
              </w:rPr>
              <w:t>2—5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15  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14 </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内部安全技术交底</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作业前未进行“施工方案”、“三措”学习和现场安全交底的，每发生一次酌情扣</w:t>
            </w:r>
            <w:r>
              <w:rPr>
                <w:rFonts w:ascii="Calibri" w:hAnsi="Calibri" w:eastAsia="宋体" w:cs="Times New Roman"/>
                <w:color w:val="000000"/>
                <w:kern w:val="0"/>
                <w:szCs w:val="20"/>
                <w:u w:color="000000"/>
              </w:rPr>
              <w:t>1—5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15</w:t>
            </w: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作业人员执行规章制度的依从性</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00" w:lineRule="exac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员工执行作业文件不到位的，每发生一次酌情扣</w:t>
            </w:r>
            <w:r>
              <w:rPr>
                <w:rFonts w:ascii="Calibri" w:hAnsi="Calibri" w:eastAsia="宋体" w:cs="Times New Roman"/>
                <w:color w:val="000000"/>
                <w:kern w:val="0"/>
                <w:szCs w:val="20"/>
                <w:u w:color="000000"/>
              </w:rPr>
              <w:t>1—3</w:t>
            </w:r>
            <w:r>
              <w:rPr>
                <w:rFonts w:hint="eastAsia" w:ascii="Calibri" w:hAnsi="Calibri" w:eastAsia="宋体" w:cs="Times New Roman"/>
                <w:color w:val="000000"/>
                <w:kern w:val="0"/>
                <w:szCs w:val="20"/>
                <w:u w:color="000000"/>
              </w:rPr>
              <w:t>分。违反“八</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条禁令”扣</w:t>
            </w:r>
            <w:r>
              <w:rPr>
                <w:rFonts w:ascii="Calibri" w:hAnsi="Calibri" w:eastAsia="宋体" w:cs="Times New Roman"/>
                <w:color w:val="000000"/>
                <w:kern w:val="0"/>
                <w:szCs w:val="20"/>
                <w:u w:color="000000"/>
              </w:rPr>
              <w:t>5</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次，发生</w:t>
            </w:r>
            <w:r>
              <w:rPr>
                <w:rFonts w:ascii="Calibri" w:hAnsi="Calibri" w:eastAsia="宋体" w:cs="Times New Roman"/>
                <w:color w:val="000000"/>
                <w:kern w:val="0"/>
                <w:szCs w:val="20"/>
                <w:u w:color="000000"/>
              </w:rPr>
              <w:t>A</w:t>
            </w:r>
            <w:r>
              <w:rPr>
                <w:rFonts w:hint="eastAsia" w:ascii="Calibri" w:hAnsi="Calibri" w:eastAsia="宋体" w:cs="Times New Roman"/>
                <w:color w:val="000000"/>
                <w:kern w:val="0"/>
                <w:szCs w:val="20"/>
                <w:u w:color="000000"/>
              </w:rPr>
              <w:t>类违章扣</w:t>
            </w:r>
            <w:r>
              <w:rPr>
                <w:rFonts w:ascii="Calibri" w:hAnsi="Calibri" w:eastAsia="宋体" w:cs="Times New Roman"/>
                <w:color w:val="000000"/>
                <w:kern w:val="0"/>
                <w:szCs w:val="20"/>
                <w:u w:color="000000"/>
              </w:rPr>
              <w:t>4</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次，发生</w:t>
            </w:r>
            <w:r>
              <w:rPr>
                <w:rFonts w:ascii="Calibri" w:hAnsi="Calibri" w:eastAsia="宋体" w:cs="Times New Roman"/>
                <w:color w:val="000000"/>
                <w:kern w:val="0"/>
                <w:szCs w:val="20"/>
                <w:u w:color="000000"/>
              </w:rPr>
              <w:t>B</w:t>
            </w:r>
            <w:r>
              <w:rPr>
                <w:rFonts w:hint="eastAsia" w:ascii="Calibri" w:hAnsi="Calibri" w:eastAsia="宋体" w:cs="Times New Roman"/>
                <w:color w:val="000000"/>
                <w:kern w:val="0"/>
                <w:szCs w:val="20"/>
                <w:u w:color="000000"/>
              </w:rPr>
              <w:t>类违章扣</w:t>
            </w:r>
            <w:r>
              <w:rPr>
                <w:rFonts w:ascii="Calibri" w:hAnsi="Calibri" w:eastAsia="宋体" w:cs="Times New Roman"/>
                <w:color w:val="000000"/>
                <w:kern w:val="0"/>
                <w:szCs w:val="20"/>
                <w:u w:color="000000"/>
              </w:rPr>
              <w:t>3</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次，发生</w:t>
            </w:r>
            <w:r>
              <w:rPr>
                <w:rFonts w:ascii="Calibri" w:hAnsi="Calibri" w:eastAsia="宋体" w:cs="Times New Roman"/>
                <w:color w:val="000000"/>
                <w:kern w:val="0"/>
                <w:szCs w:val="20"/>
                <w:u w:color="000000"/>
              </w:rPr>
              <w:t>C</w:t>
            </w:r>
            <w:r>
              <w:rPr>
                <w:rFonts w:hint="eastAsia" w:ascii="Calibri" w:hAnsi="Calibri" w:eastAsia="宋体" w:cs="Times New Roman"/>
                <w:color w:val="000000"/>
                <w:kern w:val="0"/>
                <w:szCs w:val="20"/>
                <w:u w:color="000000"/>
              </w:rPr>
              <w:t>类违章扣</w:t>
            </w:r>
            <w:r>
              <w:rPr>
                <w:rFonts w:ascii="Calibri" w:hAnsi="Calibri" w:eastAsia="宋体" w:cs="Times New Roman"/>
                <w:color w:val="000000"/>
                <w:kern w:val="0"/>
                <w:szCs w:val="20"/>
                <w:u w:color="000000"/>
              </w:rPr>
              <w:t>2</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次。</w:t>
            </w:r>
            <w:r>
              <w:rPr>
                <w:rFonts w:ascii="Calibri" w:hAnsi="Calibri" w:eastAsia="宋体" w:cs="Times New Roman"/>
                <w:color w:val="000000"/>
                <w:kern w:val="0"/>
                <w:szCs w:val="20"/>
                <w:u w:color="000000"/>
              </w:rPr>
              <w:t>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357" w:lineRule="atLeast"/>
              <w:jc w:val="center"/>
              <w:rPr>
                <w:rFonts w:ascii="Calibri" w:hAnsi="Calibri" w:eastAsia="宋体" w:cs="Times New Roman"/>
                <w:color w:val="000000"/>
                <w:kern w:val="0"/>
                <w:szCs w:val="20"/>
                <w:u w:color="000000"/>
              </w:rPr>
            </w:pPr>
            <w:r>
              <w:rPr>
                <w:rFonts w:ascii="Calibri" w:hAnsi="Calibri" w:eastAsia="宋体" w:cs="Times New Roman"/>
                <w:color w:val="000000"/>
                <w:kern w:val="0"/>
                <w:szCs w:val="20"/>
                <w:u w:color="000000"/>
              </w:rPr>
              <w:t>20  </w:t>
            </w:r>
          </w:p>
        </w:tc>
        <w:tc>
          <w:tcPr>
            <w:tcW w:w="710"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35"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gridSpan w:val="4"/>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评价得分（</w:t>
            </w:r>
            <w:r>
              <w:rPr>
                <w:rFonts w:ascii="Calibri" w:hAnsi="Calibri" w:eastAsia="宋体" w:cs="Times New Roman"/>
                <w:color w:val="000000"/>
                <w:kern w:val="0"/>
                <w:szCs w:val="20"/>
                <w:u w:color="000000"/>
              </w:rPr>
              <w:t>100</w:t>
            </w:r>
            <w:r>
              <w:rPr>
                <w:rFonts w:hint="eastAsia" w:ascii="Calibri" w:hAnsi="Calibri" w:eastAsia="宋体" w:cs="Times New Roman"/>
                <w:color w:val="000000"/>
                <w:kern w:val="0"/>
                <w:szCs w:val="20"/>
                <w:u w:color="000000"/>
              </w:rPr>
              <w:t>分</w:t>
            </w:r>
            <w:r>
              <w:rPr>
                <w:rFonts w:ascii="Calibri" w:hAnsi="Calibri" w:eastAsia="宋体" w:cs="Times New Roman"/>
                <w:color w:val="000000"/>
                <w:kern w:val="0"/>
                <w:szCs w:val="20"/>
                <w:u w:color="000000"/>
              </w:rPr>
              <w:t>-</w:t>
            </w:r>
            <w:r>
              <w:rPr>
                <w:rFonts w:hint="eastAsia" w:ascii="Calibri" w:hAnsi="Calibri" w:eastAsia="宋体" w:cs="Times New Roman"/>
                <w:color w:val="000000"/>
                <w:kern w:val="0"/>
                <w:szCs w:val="20"/>
                <w:u w:color="000000"/>
              </w:rPr>
              <w:t>总扣分）</w:t>
            </w:r>
          </w:p>
        </w:tc>
        <w:tc>
          <w:tcPr>
            <w:tcW w:w="6424" w:type="dxa"/>
            <w:gridSpan w:val="8"/>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gridSpan w:val="4"/>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评价结论</w:t>
            </w:r>
            <w:r>
              <w:rPr>
                <w:rFonts w:ascii="Calibri" w:hAnsi="Calibri" w:eastAsia="宋体" w:cs="Times New Roman"/>
                <w:color w:val="000000"/>
                <w:kern w:val="0"/>
                <w:szCs w:val="20"/>
                <w:u w:color="000000"/>
              </w:rPr>
              <w:t xml:space="preserve">  </w:t>
            </w:r>
          </w:p>
        </w:tc>
        <w:tc>
          <w:tcPr>
            <w:tcW w:w="6424" w:type="dxa"/>
            <w:gridSpan w:val="8"/>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792" w:type="dxa"/>
            <w:vMerge w:val="restart"/>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续用评审</w:t>
            </w:r>
            <w:r>
              <w:rPr>
                <w:rFonts w:ascii="Calibri" w:hAnsi="Calibri" w:eastAsia="宋体" w:cs="Times New Roman"/>
                <w:color w:val="000000"/>
                <w:kern w:val="0"/>
                <w:szCs w:val="20"/>
                <w:u w:color="000000"/>
              </w:rPr>
              <w:t> </w:t>
            </w:r>
          </w:p>
          <w:p>
            <w:pPr>
              <w:widowControl/>
              <w:spacing w:line="357" w:lineRule="atLeast"/>
              <w:rPr>
                <w:rFonts w:ascii="Calibri" w:hAnsi="Calibri" w:eastAsia="宋体" w:cs="Times New Roman"/>
                <w:color w:val="000000"/>
                <w:kern w:val="0"/>
                <w:szCs w:val="20"/>
                <w:u w:color="000000"/>
              </w:rPr>
            </w:pP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安全管理部门意见</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23"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负责人（签字）</w:t>
            </w:r>
          </w:p>
        </w:tc>
        <w:tc>
          <w:tcPr>
            <w:tcW w:w="1745" w:type="dxa"/>
            <w:gridSpan w:val="2"/>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000000"/>
                <w:kern w:val="0"/>
                <w:szCs w:val="20"/>
                <w:u w:color="000000"/>
              </w:rPr>
            </w:pP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分管负责人审查意见</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23"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负责人（签字）</w:t>
            </w:r>
          </w:p>
        </w:tc>
        <w:tc>
          <w:tcPr>
            <w:tcW w:w="1745" w:type="dxa"/>
            <w:gridSpan w:val="2"/>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000000"/>
                <w:kern w:val="0"/>
                <w:szCs w:val="20"/>
                <w:u w:color="000000"/>
              </w:rPr>
            </w:pPr>
          </w:p>
        </w:tc>
        <w:tc>
          <w:tcPr>
            <w:tcW w:w="1306" w:type="dxa"/>
            <w:gridSpan w:val="3"/>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主要负责人</w:t>
            </w:r>
            <w:r>
              <w:rPr>
                <w:rFonts w:ascii="Calibri" w:hAnsi="Calibri" w:eastAsia="宋体" w:cs="Times New Roman"/>
                <w:color w:val="000000"/>
                <w:kern w:val="0"/>
                <w:szCs w:val="20"/>
                <w:u w:color="000000"/>
              </w:rPr>
              <w:t> </w:t>
            </w:r>
            <w:r>
              <w:rPr>
                <w:rFonts w:hint="eastAsia" w:ascii="Calibri" w:hAnsi="Calibri" w:eastAsia="宋体" w:cs="Times New Roman"/>
                <w:color w:val="000000"/>
                <w:kern w:val="0"/>
                <w:szCs w:val="20"/>
                <w:u w:color="000000"/>
              </w:rPr>
              <w:t>审查意见</w:t>
            </w:r>
            <w:r>
              <w:rPr>
                <w:rFonts w:ascii="Calibri" w:hAnsi="Calibri" w:eastAsia="宋体" w:cs="Times New Roman"/>
                <w:color w:val="000000"/>
                <w:kern w:val="0"/>
                <w:szCs w:val="20"/>
                <w:u w:color="000000"/>
              </w:rPr>
              <w:t> </w:t>
            </w:r>
          </w:p>
        </w:tc>
        <w:tc>
          <w:tcPr>
            <w:tcW w:w="3656" w:type="dxa"/>
            <w:gridSpan w:val="5"/>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c>
          <w:tcPr>
            <w:tcW w:w="1023" w:type="dxa"/>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r>
              <w:rPr>
                <w:rFonts w:hint="eastAsia" w:ascii="Calibri" w:hAnsi="Calibri" w:eastAsia="宋体" w:cs="Times New Roman"/>
                <w:color w:val="000000"/>
                <w:kern w:val="0"/>
                <w:szCs w:val="20"/>
                <w:u w:color="000000"/>
              </w:rPr>
              <w:t>负责人（签字）</w:t>
            </w:r>
          </w:p>
        </w:tc>
        <w:tc>
          <w:tcPr>
            <w:tcW w:w="1745" w:type="dxa"/>
            <w:gridSpan w:val="2"/>
            <w:tcBorders>
              <w:top w:val="single" w:color="auto" w:sz="4" w:space="0"/>
              <w:left w:val="single" w:color="auto" w:sz="4" w:space="0"/>
              <w:bottom w:val="single" w:color="auto" w:sz="4" w:space="0"/>
              <w:right w:val="single" w:color="auto" w:sz="4" w:space="0"/>
            </w:tcBorders>
          </w:tcPr>
          <w:p>
            <w:pPr>
              <w:widowControl/>
              <w:spacing w:line="357" w:lineRule="atLeast"/>
              <w:rPr>
                <w:rFonts w:ascii="Calibri" w:hAnsi="Calibri" w:eastAsia="宋体" w:cs="Times New Roman"/>
                <w:color w:val="000000"/>
                <w:kern w:val="0"/>
                <w:szCs w:val="20"/>
                <w:u w:color="000000"/>
              </w:rPr>
            </w:pPr>
          </w:p>
        </w:tc>
      </w:tr>
    </w:tbl>
    <w:p>
      <w:pPr>
        <w:widowControl/>
        <w:spacing w:line="357" w:lineRule="atLeast"/>
        <w:rPr>
          <w:rFonts w:ascii="Calibri" w:hAnsi="Calibri" w:eastAsia="宋体" w:cs="Times New Roman"/>
          <w:color w:val="000000"/>
          <w:kern w:val="0"/>
          <w:szCs w:val="20"/>
          <w:u w:color="000000"/>
        </w:rPr>
      </w:pPr>
    </w:p>
    <w:p>
      <w:r>
        <w:rPr>
          <w:sz w:val="21"/>
        </w:rPr>
        <mc:AlternateContent>
          <mc:Choice Requires="wps">
            <w:drawing>
              <wp:anchor distT="0" distB="0" distL="114300" distR="114300" simplePos="0" relativeHeight="251663360" behindDoc="0" locked="0" layoutInCell="1" allowOverlap="1">
                <wp:simplePos x="0" y="0"/>
                <wp:positionH relativeFrom="column">
                  <wp:posOffset>2113280</wp:posOffset>
                </wp:positionH>
                <wp:positionV relativeFrom="paragraph">
                  <wp:posOffset>232410</wp:posOffset>
                </wp:positionV>
                <wp:extent cx="1420495" cy="0"/>
                <wp:effectExtent l="0" t="0" r="0" b="0"/>
                <wp:wrapNone/>
                <wp:docPr id="15" name="直接连接符 15"/>
                <wp:cNvGraphicFramePr/>
                <a:graphic xmlns:a="http://schemas.openxmlformats.org/drawingml/2006/main">
                  <a:graphicData uri="http://schemas.microsoft.com/office/word/2010/wordprocessingShape">
                    <wps:wsp>
                      <wps:cNvCnPr/>
                      <wps:spPr>
                        <a:xfrm>
                          <a:off x="3091815" y="9616440"/>
                          <a:ext cx="142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4pt;margin-top:18.3pt;height:0pt;width:111.85pt;z-index:251663360;mso-width-relative:page;mso-height-relative:page;" filled="f" stroked="t" coordsize="21600,21600" o:gfxdata="UEsDBAoAAAAAAIdO4kAAAAAAAAAAAAAAAAAEAAAAZHJzL1BLAwQUAAAACACHTuJACINjxtYAAAAJ&#10;AQAADwAAAGRycy9kb3ducmV2LnhtbE2PzU7DQAyE70i8w8pIXCq6aaJEKGTTA5AbF0oRVzdrkois&#10;N81uf+DpMeIAN3s8mvlcrc9uVEeaw+DZwGqZgCJuvR24M7B9aW5uQYWIbHH0TAY+KcC6vryosLT+&#10;xM903MROSQiHEg30MU6l1qHtyWFY+olYbu9+dhhlnTttZzxJuBt1miSFdjiwNPQ40X1P7cfm4AyE&#10;5pX2zdeiXSRvWecp3T88PaIx11er5A5UpHP8M8MPvqBDLUw7f2Ab1Gggy1JBjzIUBSgx5HmRg9r9&#10;Crqu9P8P6m9QSwMEFAAAAAgAh07iQNAtGTfiAQAAkwMAAA4AAABkcnMvZTJvRG9jLnhtbK1TzY7T&#10;MBC+I/EOlu80SWmrbbTpHrZaLvxUAh5g6jiJJf/JY5r2JXgBJG5w4sidt2F5DMZOd5efGyKHsT3z&#10;zeeZz5PLq6PR7CADKmcbXs1KzqQVrlW2b/jbNzdPLjjDCLYF7axs+Ekiv9o8fnQ5+lrO3eB0KwMj&#10;Eov16Bs+xOjrokAxSAM4c15aCnYuGIh0DH3RBhiJ3ehiXparYnSh9cEJiUje7RTkm8zfdVLEV12H&#10;MjLdcKotZhuy3SdbbC6h7gP4QYlzGfAPVRhQli69p9pCBPYuqL+ojBLBoeviTDhTuK5TQuYeqJuq&#10;/KOb1wN4mXshcdDfy4T/j1a8POwCUy293ZIzC4be6PbD1+/vP/349pHs7ZfPjCIk0+ixJvS13YXz&#10;Cf0upJ6PXTBppW7YseFPy3V1kdhODV+vqtVicZZZHiMTBKgW83KxJoAgRI4VDyQ+YHwmnWFp03Ct&#10;bFIAajg8x0gXE/QOktzW3Sit8ytqy0a6cTlPzECz1GmItDWeukPbcwa6pyEVMWRGdFq1KTvxYOj3&#10;1zqwA6RByd8EGqCVk3e9JPc0MAjxhWsnd1Xe+am0M00u8zf+VPMWcJhycihRUYq2tCRxJznTbu/a&#10;U1Y5++nlM/A8pWm0fj3n7Id/afM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NjxtYAAAAJAQAA&#10;DwAAAAAAAAABACAAAAAiAAAAZHJzL2Rvd25yZXYueG1sUEsBAhQAFAAAAAgAh07iQNAtGTfiAQAA&#10;kwMAAA4AAAAAAAAAAQAgAAAAJQEAAGRycy9lMm9Eb2MueG1sUEsFBgAAAAAGAAYAWQEAAHkFAAAA&#10;AA==&#10;">
                <v:fill on="f" focussize="0,0"/>
                <v:stroke color="#000000 [3200]" joinstyle="round"/>
                <v:imagedata o:title=""/>
                <o:lock v:ext="edit" aspectratio="f"/>
              </v:line>
            </w:pict>
          </mc:Fallback>
        </mc:AlternateContent>
      </w:r>
    </w:p>
    <w:sectPr>
      <w:footerReference r:id="rId15" w:type="default"/>
      <w:footerReference r:id="rId16"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rPr>
        <w:rStyle w:val="8"/>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II</w:t>
    </w:r>
    <w: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rPr>
        <w:rStyle w:val="8"/>
        <w:rFonts w:ascii="宋体" w:hAnsi="宋体"/>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Pr>
                          </w:pPr>
                          <w:r>
                            <w:fldChar w:fldCharType="begin"/>
                          </w:r>
                          <w:r>
                            <w:rPr>
                              <w:rStyle w:val="8"/>
                            </w:rPr>
                            <w:instrText xml:space="preserve">PAGE  </w:instrText>
                          </w:r>
                          <w:r>
                            <w:fldChar w:fldCharType="separate"/>
                          </w:r>
                          <w:r>
                            <w:rPr>
                              <w:rStyle w:val="8"/>
                            </w:rP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8"/>
                      </w:rPr>
                    </w:pPr>
                    <w:r>
                      <w:fldChar w:fldCharType="begin"/>
                    </w:r>
                    <w:r>
                      <w:rPr>
                        <w:rStyle w:val="8"/>
                      </w:rPr>
                      <w:instrText xml:space="preserve">PAGE  </w:instrText>
                    </w:r>
                    <w:r>
                      <w:fldChar w:fldCharType="separate"/>
                    </w:r>
                    <w:r>
                      <w:rPr>
                        <w:rStyle w:val="8"/>
                      </w:rP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rPr>
        <w:rStyle w:val="8"/>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rPr>
        <w:rFonts w:hint="eastAsia"/>
      </w:rPr>
    </w:pPr>
    <w:r>
      <w:rPr>
        <w:rFonts w:hint="eastAsia"/>
      </w:rPr>
      <w:t>T/CCSAS 0XX—202X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eastAsia="黑体"/>
        <w:sz w:val="21"/>
        <w:szCs w:val="21"/>
      </w:rPr>
    </w:pPr>
    <w:r>
      <w:rPr>
        <w:rFonts w:ascii="黑体" w:eastAsia="黑体"/>
        <w:sz w:val="21"/>
        <w:szCs w:val="21"/>
      </w:rPr>
      <w:t>T/CCSAS 0</w:t>
    </w:r>
    <w:r>
      <w:rPr>
        <w:rFonts w:hint="eastAsia" w:ascii="黑体" w:eastAsia="黑体"/>
        <w:sz w:val="21"/>
        <w:szCs w:val="21"/>
      </w:rPr>
      <w:t>XX</w:t>
    </w:r>
    <w:r>
      <w:rPr>
        <w:rFonts w:ascii="黑体" w:eastAsia="黑体"/>
        <w:sz w:val="21"/>
        <w:szCs w:val="21"/>
      </w:rPr>
      <w:t>—20</w:t>
    </w:r>
    <w:r>
      <w:rPr>
        <w:rFonts w:hint="eastAsia" w:ascii="黑体" w:eastAsia="黑体"/>
        <w:sz w:val="21"/>
        <w:szCs w:val="21"/>
      </w:rPr>
      <w:t>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1897"/>
        <w:tab w:val="right" w:pos="9484"/>
      </w:tabs>
      <w:bidi w:val="0"/>
      <w:jc w:val="right"/>
      <w:rPr>
        <w:rFonts w:hint="eastAsia"/>
        <w:sz w:val="21"/>
        <w:szCs w:val="21"/>
      </w:rPr>
    </w:pP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rPr>
      <w:t>T/CCSAS 0XX—202X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eastAsia="黑体"/>
        <w:sz w:val="21"/>
        <w:szCs w:val="21"/>
      </w:rPr>
    </w:pPr>
    <w:r>
      <w:rPr>
        <w:rFonts w:ascii="黑体" w:eastAsia="黑体"/>
        <w:sz w:val="21"/>
        <w:szCs w:val="21"/>
      </w:rPr>
      <w:t>T/CCSAS 0</w:t>
    </w:r>
    <w:r>
      <w:rPr>
        <w:rFonts w:hint="eastAsia" w:ascii="黑体" w:eastAsia="黑体"/>
        <w:sz w:val="21"/>
        <w:szCs w:val="21"/>
      </w:rPr>
      <w:t>XX</w:t>
    </w:r>
    <w:r>
      <w:rPr>
        <w:rFonts w:ascii="黑体" w:eastAsia="黑体"/>
        <w:sz w:val="21"/>
        <w:szCs w:val="21"/>
      </w:rPr>
      <w:t>—20</w:t>
    </w:r>
    <w:r>
      <w:rPr>
        <w:rFonts w:hint="eastAsia" w:ascii="黑体" w:eastAsia="黑体"/>
        <w:sz w:val="21"/>
        <w:szCs w:val="21"/>
      </w:rPr>
      <w:t>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rPr>
        <w:rFonts w:hint="eastAsia" w:ascii="黑体" w:hAnsi="黑体" w:eastAsia="黑体" w:cs="黑体"/>
        <w:sz w:val="21"/>
        <w:szCs w:val="21"/>
      </w:rPr>
    </w:pPr>
    <w:r>
      <w:rPr>
        <w:rFonts w:hint="eastAsia" w:ascii="黑体" w:hAnsi="黑体" w:eastAsia="黑体" w:cs="黑体"/>
        <w:kern w:val="0"/>
        <w:sz w:val="21"/>
        <w:szCs w:val="21"/>
      </w:rPr>
      <w:t>T/CCSAS 0XX—202X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AC"/>
    <w:rsid w:val="00281CE4"/>
    <w:rsid w:val="00401A10"/>
    <w:rsid w:val="00694266"/>
    <w:rsid w:val="00695A60"/>
    <w:rsid w:val="007A2195"/>
    <w:rsid w:val="008D7383"/>
    <w:rsid w:val="00927FF3"/>
    <w:rsid w:val="00DA15F9"/>
    <w:rsid w:val="00E74249"/>
    <w:rsid w:val="00E853AC"/>
    <w:rsid w:val="00EE3BA3"/>
    <w:rsid w:val="00F125B4"/>
    <w:rsid w:val="10C902A8"/>
    <w:rsid w:val="2210577F"/>
    <w:rsid w:val="2F7E68A1"/>
    <w:rsid w:val="401140B1"/>
    <w:rsid w:val="41CF6188"/>
    <w:rsid w:val="62ED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widowControl/>
      <w:spacing w:line="357" w:lineRule="atLeast"/>
      <w:jc w:val="left"/>
      <w:textAlignment w:val="baseline"/>
    </w:pPr>
    <w:rPr>
      <w:color w:val="000000"/>
      <w:u w:color="000000"/>
    </w:rPr>
  </w:style>
  <w:style w:type="paragraph" w:styleId="3">
    <w:name w:val="Balloon Text"/>
    <w:basedOn w:val="1"/>
    <w:link w:val="15"/>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0"/>
    <w:rPr>
      <w:rFonts w:ascii="Times New Roman" w:hAnsi="Times New Roman" w:eastAsia="宋体"/>
      <w:sz w:val="18"/>
    </w:r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批注文字 Char"/>
    <w:link w:val="2"/>
    <w:qFormat/>
    <w:uiPriority w:val="0"/>
    <w:rPr>
      <w:color w:val="000000"/>
      <w:u w:color="000000"/>
    </w:rPr>
  </w:style>
  <w:style w:type="character" w:customStyle="1" w:styleId="12">
    <w:name w:val="批注文字 Char1"/>
    <w:basedOn w:val="7"/>
    <w:semiHidden/>
    <w:uiPriority w:val="99"/>
  </w:style>
  <w:style w:type="paragraph" w:customStyle="1" w:styleId="13">
    <w:name w:val="标准书脚_奇数页"/>
    <w:qFormat/>
    <w:uiPriority w:val="0"/>
    <w:pPr>
      <w:spacing w:before="120"/>
      <w:jc w:val="right"/>
    </w:pPr>
    <w:rPr>
      <w:rFonts w:ascii="Calibri" w:hAnsi="Calibri" w:eastAsia="宋体" w:cs="Times New Roman"/>
      <w:kern w:val="0"/>
      <w:sz w:val="18"/>
      <w:szCs w:val="20"/>
      <w:lang w:val="en-US" w:eastAsia="zh-CN" w:bidi="ar-SA"/>
    </w:rPr>
  </w:style>
  <w:style w:type="paragraph" w:customStyle="1" w:styleId="14">
    <w:name w:val="标准书眉_奇数页"/>
    <w:next w:val="1"/>
    <w:uiPriority w:val="0"/>
    <w:pPr>
      <w:tabs>
        <w:tab w:val="center" w:pos="4154"/>
        <w:tab w:val="right" w:pos="8306"/>
      </w:tabs>
      <w:spacing w:after="120"/>
      <w:jc w:val="right"/>
    </w:pPr>
    <w:rPr>
      <w:rFonts w:ascii="Calibri" w:hAnsi="Calibri" w:eastAsia="宋体" w:cs="Times New Roman"/>
      <w:kern w:val="0"/>
      <w:sz w:val="21"/>
      <w:szCs w:val="20"/>
      <w:lang w:val="en-US" w:eastAsia="zh-CN" w:bidi="ar-SA"/>
    </w:rPr>
  </w:style>
  <w:style w:type="character" w:customStyle="1" w:styleId="15">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1690</Words>
  <Characters>9635</Characters>
  <Lines>80</Lines>
  <Paragraphs>22</Paragraphs>
  <TotalTime>1</TotalTime>
  <ScaleCrop>false</ScaleCrop>
  <LinksUpToDate>false</LinksUpToDate>
  <CharactersWithSpaces>11303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2020-11-25T09:17:00Z</dcterms:created>
  <dc:creator>王震</dc:creator>
  <cp:lastModifiedBy>z</cp:lastModifiedBy>
  <dcterms:modified xsi:type="dcterms:W3CDTF">2020-11-30T01:22:47Z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